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59928" w14:textId="54484365" w:rsidR="0074405B" w:rsidRDefault="0074405B" w:rsidP="0074405B">
      <w:pPr>
        <w:pStyle w:val="3GPPHeader"/>
        <w:spacing w:after="60"/>
        <w:rPr>
          <w:sz w:val="32"/>
          <w:szCs w:val="32"/>
          <w:highlight w:val="yellow"/>
        </w:rPr>
      </w:pPr>
      <w:r>
        <w:t xml:space="preserve">3GPP TSG-RAN WG2 </w:t>
      </w:r>
      <w:r w:rsidR="0021625B">
        <w:t xml:space="preserve">Meeting </w:t>
      </w:r>
      <w:r w:rsidR="000656C8">
        <w:t>N</w:t>
      </w:r>
      <w:r w:rsidR="0021625B">
        <w:t>R ad-h</w:t>
      </w:r>
      <w:r w:rsidR="000656C8">
        <w:t>oc</w:t>
      </w:r>
      <w:r>
        <w:tab/>
      </w:r>
      <w:r w:rsidR="00D70E73">
        <w:rPr>
          <w:sz w:val="32"/>
          <w:szCs w:val="32"/>
        </w:rPr>
        <w:t>Tdoc R2-1</w:t>
      </w:r>
      <w:r w:rsidR="00D70E73" w:rsidRPr="006B4892">
        <w:rPr>
          <w:sz w:val="32"/>
          <w:szCs w:val="32"/>
        </w:rPr>
        <w:t>7</w:t>
      </w:r>
      <w:r w:rsidR="006B4892" w:rsidRPr="006B4892">
        <w:rPr>
          <w:sz w:val="32"/>
          <w:szCs w:val="32"/>
        </w:rPr>
        <w:t>00429</w:t>
      </w:r>
    </w:p>
    <w:p w14:paraId="2F4183A0" w14:textId="6E17F0EC" w:rsidR="0074405B" w:rsidRDefault="000656C8" w:rsidP="0074405B">
      <w:pPr>
        <w:pStyle w:val="CRCoverPage"/>
        <w:outlineLvl w:val="0"/>
        <w:rPr>
          <w:b/>
          <w:noProof/>
          <w:sz w:val="24"/>
        </w:rPr>
      </w:pPr>
      <w:r>
        <w:rPr>
          <w:b/>
          <w:noProof/>
          <w:sz w:val="24"/>
        </w:rPr>
        <w:t>Spokane</w:t>
      </w:r>
      <w:r w:rsidR="0074405B">
        <w:rPr>
          <w:b/>
          <w:noProof/>
          <w:sz w:val="24"/>
        </w:rPr>
        <w:t xml:space="preserve">, </w:t>
      </w:r>
      <w:r>
        <w:rPr>
          <w:b/>
          <w:noProof/>
          <w:sz w:val="24"/>
        </w:rPr>
        <w:t>USA, 17</w:t>
      </w:r>
      <w:r w:rsidR="0074405B">
        <w:rPr>
          <w:b/>
          <w:noProof/>
          <w:sz w:val="24"/>
          <w:vertAlign w:val="superscript"/>
        </w:rPr>
        <w:t>th</w:t>
      </w:r>
      <w:r>
        <w:rPr>
          <w:b/>
          <w:noProof/>
          <w:sz w:val="24"/>
        </w:rPr>
        <w:t xml:space="preserve"> – 19</w:t>
      </w:r>
      <w:r w:rsidR="0074405B">
        <w:rPr>
          <w:b/>
          <w:noProof/>
          <w:sz w:val="24"/>
          <w:vertAlign w:val="superscript"/>
        </w:rPr>
        <w:t>th</w:t>
      </w:r>
      <w:r w:rsidR="0074405B">
        <w:rPr>
          <w:b/>
          <w:noProof/>
          <w:sz w:val="24"/>
        </w:rPr>
        <w:t xml:space="preserve"> </w:t>
      </w:r>
      <w:r>
        <w:rPr>
          <w:b/>
          <w:noProof/>
          <w:sz w:val="24"/>
        </w:rPr>
        <w:t xml:space="preserve">January </w:t>
      </w:r>
      <w:r w:rsidR="0074405B">
        <w:rPr>
          <w:b/>
          <w:noProof/>
          <w:sz w:val="24"/>
        </w:rPr>
        <w:t>2017</w:t>
      </w:r>
    </w:p>
    <w:p w14:paraId="56C12257" w14:textId="77777777" w:rsidR="00E90E49" w:rsidRPr="00CE0424" w:rsidRDefault="00E90E49" w:rsidP="00357380">
      <w:pPr>
        <w:pStyle w:val="3GPPHeader"/>
      </w:pPr>
    </w:p>
    <w:p w14:paraId="4A4F422A" w14:textId="11332DA6" w:rsidR="00E90E49" w:rsidRPr="00851A0F" w:rsidRDefault="00E90E49" w:rsidP="00311702">
      <w:pPr>
        <w:pStyle w:val="3GPPHeader"/>
        <w:rPr>
          <w:sz w:val="22"/>
          <w:szCs w:val="22"/>
        </w:rPr>
      </w:pPr>
      <w:r w:rsidRPr="00851A0F">
        <w:rPr>
          <w:sz w:val="22"/>
          <w:szCs w:val="22"/>
        </w:rPr>
        <w:t>Agenda Item:</w:t>
      </w:r>
      <w:r w:rsidRPr="00851A0F">
        <w:rPr>
          <w:sz w:val="22"/>
          <w:szCs w:val="22"/>
        </w:rPr>
        <w:tab/>
      </w:r>
      <w:r w:rsidR="008617AB" w:rsidRPr="00851A0F">
        <w:rPr>
          <w:sz w:val="22"/>
          <w:szCs w:val="22"/>
        </w:rPr>
        <w:t>3.2.1.1 - Overall user plane architecture</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63CB047E" w14:textId="35DA75AA" w:rsidR="00E90E49" w:rsidRPr="00CE0424" w:rsidRDefault="003D3C45" w:rsidP="00311702">
      <w:pPr>
        <w:pStyle w:val="3GPPHeader"/>
        <w:rPr>
          <w:sz w:val="22"/>
          <w:szCs w:val="22"/>
        </w:rPr>
      </w:pPr>
      <w:r>
        <w:rPr>
          <w:sz w:val="22"/>
          <w:szCs w:val="22"/>
        </w:rPr>
        <w:t>Title:</w:t>
      </w:r>
      <w:r w:rsidR="00E90E49" w:rsidRPr="00CE0424">
        <w:rPr>
          <w:sz w:val="22"/>
          <w:szCs w:val="22"/>
        </w:rPr>
        <w:tab/>
      </w:r>
      <w:r w:rsidR="00E220D0">
        <w:rPr>
          <w:sz w:val="22"/>
          <w:szCs w:val="22"/>
        </w:rPr>
        <w:t xml:space="preserve">Further design </w:t>
      </w:r>
      <w:r w:rsidR="005A33D1">
        <w:rPr>
          <w:sz w:val="22"/>
          <w:szCs w:val="22"/>
        </w:rPr>
        <w:t xml:space="preserve">aspects </w:t>
      </w:r>
      <w:r w:rsidR="00E220D0">
        <w:rPr>
          <w:sz w:val="22"/>
          <w:szCs w:val="22"/>
        </w:rPr>
        <w:t xml:space="preserve">of </w:t>
      </w:r>
      <w:r w:rsidR="005A33D1">
        <w:rPr>
          <w:sz w:val="22"/>
          <w:szCs w:val="22"/>
        </w:rPr>
        <w:t xml:space="preserve">the </w:t>
      </w:r>
      <w:r w:rsidR="00E220D0">
        <w:rPr>
          <w:sz w:val="22"/>
          <w:szCs w:val="22"/>
        </w:rPr>
        <w:t>NR User Plane</w:t>
      </w:r>
      <w:r w:rsidR="005A33D1">
        <w:rPr>
          <w:sz w:val="22"/>
          <w:szCs w:val="22"/>
        </w:rPr>
        <w:t xml:space="preserve"> stack</w:t>
      </w:r>
    </w:p>
    <w:p w14:paraId="7E783B99" w14:textId="77777777" w:rsidR="00E90E49" w:rsidRPr="00CE0424" w:rsidRDefault="00E90E49" w:rsidP="00D546FF">
      <w:pPr>
        <w:pStyle w:val="3GPPHeader"/>
        <w:rPr>
          <w:sz w:val="22"/>
          <w:szCs w:val="22"/>
        </w:rPr>
      </w:pPr>
      <w:r w:rsidRPr="004C79D9">
        <w:rPr>
          <w:sz w:val="22"/>
          <w:szCs w:val="22"/>
        </w:rPr>
        <w:t>Document for:</w:t>
      </w:r>
      <w:r w:rsidRPr="004C79D9">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2134EE4D" w:rsidR="00D3005B" w:rsidRDefault="00DD2C11" w:rsidP="00CE0424">
      <w:pPr>
        <w:pStyle w:val="BodyText"/>
      </w:pPr>
      <w:r>
        <w:t xml:space="preserve">In previous RAN2 meetings, segmentation and concatenation functionality </w:t>
      </w:r>
      <w:r w:rsidR="008D5D42">
        <w:t>had been discussed and lead to the following agreements and working assumptions:</w:t>
      </w:r>
    </w:p>
    <w:p w14:paraId="44AABCF3" w14:textId="1F03D77B" w:rsidR="008D5D42" w:rsidRPr="008D5D42" w:rsidRDefault="008D5D42" w:rsidP="008D5D42">
      <w:pPr>
        <w:pStyle w:val="Doc-text2"/>
        <w:ind w:left="726"/>
        <w:rPr>
          <w:b/>
        </w:rPr>
      </w:pPr>
      <w:r w:rsidRPr="008D5D42">
        <w:rPr>
          <w:b/>
        </w:rPr>
        <w:t>RAN2#95bis</w:t>
      </w:r>
    </w:p>
    <w:p w14:paraId="6C0B9D34" w14:textId="77777777" w:rsidR="008D5D42" w:rsidRDefault="008D5D42" w:rsidP="008D5D42">
      <w:pPr>
        <w:pStyle w:val="Doc-text2"/>
        <w:pBdr>
          <w:top w:val="single" w:sz="4" w:space="1" w:color="auto"/>
          <w:left w:val="single" w:sz="4" w:space="4" w:color="auto"/>
          <w:bottom w:val="single" w:sz="4" w:space="1" w:color="auto"/>
          <w:right w:val="single" w:sz="4" w:space="4" w:color="auto"/>
        </w:pBdr>
        <w:ind w:left="726"/>
      </w:pPr>
      <w:r>
        <w:t>Agreements</w:t>
      </w:r>
    </w:p>
    <w:p w14:paraId="0C9CC27D" w14:textId="4A184E21" w:rsidR="008D5D42" w:rsidRDefault="008D5D42" w:rsidP="008D5D42">
      <w:pPr>
        <w:pStyle w:val="Doc-text2"/>
        <w:pBdr>
          <w:top w:val="single" w:sz="4" w:space="1" w:color="auto"/>
          <w:left w:val="single" w:sz="4" w:space="4" w:color="auto"/>
          <w:bottom w:val="single" w:sz="4" w:space="1" w:color="auto"/>
          <w:right w:val="single" w:sz="4" w:space="4" w:color="auto"/>
        </w:pBdr>
        <w:ind w:left="726"/>
      </w:pPr>
      <w:r>
        <w:t>1: In NR, the segmentation function is only placed in the RLC layer as in LTE.</w:t>
      </w:r>
    </w:p>
    <w:p w14:paraId="4939009F" w14:textId="77777777" w:rsidR="008D5D42" w:rsidRDefault="008D5D42" w:rsidP="008D5D42">
      <w:pPr>
        <w:pStyle w:val="Doc-text2"/>
        <w:pBdr>
          <w:top w:val="single" w:sz="4" w:space="1" w:color="auto"/>
          <w:left w:val="single" w:sz="4" w:space="4" w:color="auto"/>
          <w:bottom w:val="single" w:sz="4" w:space="1" w:color="auto"/>
          <w:right w:val="single" w:sz="4" w:space="4" w:color="auto"/>
        </w:pBdr>
        <w:ind w:left="726"/>
      </w:pPr>
    </w:p>
    <w:p w14:paraId="74DDFE03" w14:textId="57433AF0" w:rsidR="008D5D42" w:rsidRDefault="008D5D42" w:rsidP="008D5D42">
      <w:pPr>
        <w:pStyle w:val="Doc-text2"/>
        <w:pBdr>
          <w:top w:val="single" w:sz="4" w:space="1" w:color="auto"/>
          <w:left w:val="single" w:sz="4" w:space="4" w:color="auto"/>
          <w:bottom w:val="single" w:sz="4" w:space="1" w:color="auto"/>
          <w:right w:val="single" w:sz="4" w:space="4" w:color="auto"/>
        </w:pBdr>
        <w:ind w:left="726"/>
      </w:pPr>
      <w:r>
        <w:t>Agreement</w:t>
      </w:r>
    </w:p>
    <w:p w14:paraId="0366B9AC" w14:textId="77777777" w:rsidR="008D5D42" w:rsidRDefault="008D5D42" w:rsidP="008D5D42">
      <w:pPr>
        <w:pStyle w:val="Doc-text2"/>
        <w:pBdr>
          <w:top w:val="single" w:sz="4" w:space="1" w:color="auto"/>
          <w:left w:val="single" w:sz="4" w:space="4" w:color="auto"/>
          <w:bottom w:val="single" w:sz="4" w:space="1" w:color="auto"/>
          <w:right w:val="single" w:sz="4" w:space="4" w:color="auto"/>
        </w:pBdr>
        <w:ind w:left="726"/>
      </w:pPr>
      <w:r>
        <w:t>=&gt;</w:t>
      </w:r>
      <w:r>
        <w:tab/>
      </w:r>
      <w:r w:rsidRPr="004151FF">
        <w:t xml:space="preserve"> SO-based segmentation can be considered for both segmentation and resegmentation as a baseline in NR user plane to support high data rate.</w:t>
      </w:r>
      <w:r>
        <w:t xml:space="preserve"> (Does not imply anything about location of concatenation). At least overhead for the low data rate case should be analysed further.</w:t>
      </w:r>
    </w:p>
    <w:p w14:paraId="20FEE950" w14:textId="77777777" w:rsidR="0074344F" w:rsidRDefault="0074344F" w:rsidP="008D5D42">
      <w:pPr>
        <w:pStyle w:val="Doc-text2"/>
        <w:ind w:left="726"/>
        <w:rPr>
          <w:b/>
        </w:rPr>
      </w:pPr>
    </w:p>
    <w:p w14:paraId="5B58F81C" w14:textId="59796405" w:rsidR="008D5D42" w:rsidRPr="008D5D42" w:rsidRDefault="008D5D42" w:rsidP="008D5D42">
      <w:pPr>
        <w:pStyle w:val="Doc-text2"/>
        <w:ind w:left="726"/>
        <w:rPr>
          <w:b/>
        </w:rPr>
      </w:pPr>
      <w:r>
        <w:rPr>
          <w:b/>
        </w:rPr>
        <w:t>RAN2#96</w:t>
      </w:r>
    </w:p>
    <w:p w14:paraId="7F332A3A" w14:textId="77777777" w:rsidR="008D5D42" w:rsidRDefault="008D5D42" w:rsidP="008D5D42">
      <w:pPr>
        <w:pStyle w:val="Doc-text2"/>
        <w:pBdr>
          <w:top w:val="single" w:sz="4" w:space="1" w:color="auto"/>
          <w:left w:val="single" w:sz="4" w:space="4" w:color="auto"/>
          <w:bottom w:val="single" w:sz="4" w:space="1" w:color="auto"/>
          <w:right w:val="single" w:sz="4" w:space="4" w:color="auto"/>
        </w:pBdr>
        <w:ind w:left="726"/>
      </w:pPr>
      <w:r>
        <w:t>Working assumption:</w:t>
      </w:r>
    </w:p>
    <w:p w14:paraId="68E7EE07" w14:textId="77777777" w:rsidR="008D5D42" w:rsidRDefault="008D5D42" w:rsidP="008D5D42">
      <w:pPr>
        <w:pStyle w:val="Doc-text2"/>
        <w:pBdr>
          <w:top w:val="single" w:sz="4" w:space="1" w:color="auto"/>
          <w:left w:val="single" w:sz="4" w:space="4" w:color="auto"/>
          <w:bottom w:val="single" w:sz="4" w:space="1" w:color="auto"/>
          <w:right w:val="single" w:sz="4" w:space="4" w:color="auto"/>
        </w:pBdr>
        <w:ind w:left="726"/>
      </w:pPr>
      <w:r>
        <w:t>-</w:t>
      </w:r>
      <w:r>
        <w:tab/>
        <w:t xml:space="preserve">Support the </w:t>
      </w:r>
      <w:r w:rsidRPr="007B503D">
        <w:t>No concatenat</w:t>
      </w:r>
      <w:r>
        <w:t>ion in RLC solution (R2-169092)</w:t>
      </w:r>
    </w:p>
    <w:p w14:paraId="24A35F3B" w14:textId="77777777" w:rsidR="008D5D42" w:rsidRDefault="008D5D42" w:rsidP="008D5D42">
      <w:pPr>
        <w:pStyle w:val="Doc-text2"/>
        <w:pBdr>
          <w:top w:val="single" w:sz="4" w:space="1" w:color="auto"/>
          <w:left w:val="single" w:sz="4" w:space="4" w:color="auto"/>
          <w:bottom w:val="single" w:sz="4" w:space="1" w:color="auto"/>
          <w:right w:val="single" w:sz="4" w:space="4" w:color="auto"/>
        </w:pBdr>
        <w:ind w:left="726"/>
      </w:pPr>
      <w:r>
        <w:t>=&gt;</w:t>
      </w:r>
      <w:r>
        <w:tab/>
        <w:t>Aim is to confirm, or otherwise, the working assumption at the January ad hoc</w:t>
      </w:r>
    </w:p>
    <w:p w14:paraId="06A6D22C" w14:textId="7D25C882" w:rsidR="008D5D42" w:rsidRDefault="008D5D42" w:rsidP="00CE0424">
      <w:pPr>
        <w:pStyle w:val="BodyText"/>
      </w:pPr>
    </w:p>
    <w:p w14:paraId="15C29C07" w14:textId="77777777" w:rsidR="0074344F" w:rsidRDefault="0074344F" w:rsidP="0074344F">
      <w:pPr>
        <w:pStyle w:val="Doc-text2"/>
        <w:pBdr>
          <w:top w:val="single" w:sz="4" w:space="1" w:color="auto"/>
          <w:left w:val="single" w:sz="4" w:space="4" w:color="auto"/>
          <w:bottom w:val="single" w:sz="4" w:space="1" w:color="auto"/>
          <w:right w:val="single" w:sz="4" w:space="4" w:color="auto"/>
        </w:pBdr>
        <w:ind w:left="726"/>
      </w:pPr>
      <w:r>
        <w:t>Agreements</w:t>
      </w:r>
    </w:p>
    <w:p w14:paraId="65E8663F" w14:textId="77777777" w:rsidR="0074344F" w:rsidRDefault="0074344F" w:rsidP="0074344F">
      <w:pPr>
        <w:pStyle w:val="Doc-text2"/>
        <w:pBdr>
          <w:top w:val="single" w:sz="4" w:space="1" w:color="auto"/>
          <w:left w:val="single" w:sz="4" w:space="4" w:color="auto"/>
          <w:bottom w:val="single" w:sz="4" w:space="1" w:color="auto"/>
          <w:right w:val="single" w:sz="4" w:space="4" w:color="auto"/>
        </w:pBdr>
        <w:ind w:left="726"/>
      </w:pPr>
      <w:r>
        <w:t>1</w:t>
      </w:r>
      <w:r>
        <w:tab/>
        <w:t>PDCP supports the re-ordering functionality (T-reordering)</w:t>
      </w:r>
    </w:p>
    <w:p w14:paraId="1FA77773" w14:textId="77777777" w:rsidR="0074344F" w:rsidRDefault="0074344F" w:rsidP="0074344F">
      <w:pPr>
        <w:pStyle w:val="Doc-text2"/>
        <w:pBdr>
          <w:top w:val="single" w:sz="4" w:space="1" w:color="auto"/>
          <w:left w:val="single" w:sz="4" w:space="4" w:color="auto"/>
          <w:bottom w:val="single" w:sz="4" w:space="1" w:color="auto"/>
          <w:right w:val="single" w:sz="4" w:space="4" w:color="auto"/>
        </w:pBdr>
        <w:ind w:left="726"/>
      </w:pPr>
      <w:r>
        <w:t>2</w:t>
      </w:r>
      <w:r>
        <w:tab/>
        <w:t>RLC AM supports T-reordering like functionality for the purposes of determining the content of the RLC status report.</w:t>
      </w:r>
    </w:p>
    <w:p w14:paraId="769E3437" w14:textId="77777777" w:rsidR="0074344F" w:rsidRDefault="0074344F" w:rsidP="0074344F">
      <w:pPr>
        <w:pStyle w:val="Doc-text2"/>
        <w:pBdr>
          <w:top w:val="single" w:sz="4" w:space="1" w:color="auto"/>
          <w:left w:val="single" w:sz="4" w:space="4" w:color="auto"/>
          <w:bottom w:val="single" w:sz="4" w:space="1" w:color="auto"/>
          <w:right w:val="single" w:sz="4" w:space="4" w:color="auto"/>
        </w:pBdr>
        <w:ind w:left="726"/>
      </w:pPr>
      <w:r>
        <w:t>FFS whether RLC UM needs to support T-reordering like functionality for the purposes moving the lower edge of the receive window, or for other purposes. Could be discussed in stage 3</w:t>
      </w:r>
    </w:p>
    <w:p w14:paraId="2E462016" w14:textId="77777777" w:rsidR="0074344F" w:rsidRDefault="0074344F" w:rsidP="0074344F">
      <w:pPr>
        <w:pStyle w:val="Doc-text2"/>
        <w:pBdr>
          <w:top w:val="single" w:sz="4" w:space="1" w:color="auto"/>
          <w:left w:val="single" w:sz="4" w:space="4" w:color="auto"/>
          <w:bottom w:val="single" w:sz="4" w:space="1" w:color="auto"/>
          <w:right w:val="single" w:sz="4" w:space="4" w:color="auto"/>
        </w:pBdr>
        <w:ind w:left="726"/>
      </w:pPr>
      <w:r>
        <w:t>3</w:t>
      </w:r>
      <w:r>
        <w:tab/>
        <w:t>RLC reassembles RLC SDU and delivers them to upper layers in the order they are received (no need to mention reordering with respect to this functionality)</w:t>
      </w:r>
    </w:p>
    <w:p w14:paraId="76A12D57" w14:textId="5349BA71" w:rsidR="0074344F" w:rsidRDefault="0074344F" w:rsidP="0074344F">
      <w:pPr>
        <w:pStyle w:val="Doc-text2"/>
        <w:pBdr>
          <w:top w:val="single" w:sz="4" w:space="1" w:color="auto"/>
          <w:left w:val="single" w:sz="4" w:space="4" w:color="auto"/>
          <w:bottom w:val="single" w:sz="4" w:space="1" w:color="auto"/>
          <w:right w:val="single" w:sz="4" w:space="4" w:color="auto"/>
        </w:pBdr>
        <w:ind w:left="726"/>
      </w:pPr>
      <w:r>
        <w:t>FFS whether in-order delivery for a DRB can be disabled via RRC signalling. This only affects PDCP operation. Could be discussed in stage 3Working assumption:</w:t>
      </w:r>
    </w:p>
    <w:p w14:paraId="2055686E" w14:textId="77777777" w:rsidR="0074344F" w:rsidRDefault="0074344F" w:rsidP="0074344F">
      <w:pPr>
        <w:pStyle w:val="Doc-text2"/>
        <w:pBdr>
          <w:top w:val="single" w:sz="4" w:space="1" w:color="auto"/>
          <w:left w:val="single" w:sz="4" w:space="4" w:color="auto"/>
          <w:bottom w:val="single" w:sz="4" w:space="1" w:color="auto"/>
          <w:right w:val="single" w:sz="4" w:space="4" w:color="auto"/>
        </w:pBdr>
        <w:ind w:left="726"/>
      </w:pPr>
      <w:r>
        <w:t>-</w:t>
      </w:r>
      <w:r>
        <w:tab/>
        <w:t xml:space="preserve">Support the </w:t>
      </w:r>
      <w:r w:rsidRPr="007B503D">
        <w:t>No concatenat</w:t>
      </w:r>
      <w:r>
        <w:t>ion in RLC solution (R2-169092)</w:t>
      </w:r>
    </w:p>
    <w:p w14:paraId="07940753" w14:textId="77777777" w:rsidR="0074344F" w:rsidRDefault="0074344F" w:rsidP="0074344F">
      <w:pPr>
        <w:pStyle w:val="Doc-text2"/>
        <w:pBdr>
          <w:top w:val="single" w:sz="4" w:space="1" w:color="auto"/>
          <w:left w:val="single" w:sz="4" w:space="4" w:color="auto"/>
          <w:bottom w:val="single" w:sz="4" w:space="1" w:color="auto"/>
          <w:right w:val="single" w:sz="4" w:space="4" w:color="auto"/>
        </w:pBdr>
        <w:ind w:left="726"/>
      </w:pPr>
      <w:r>
        <w:t>=&gt;</w:t>
      </w:r>
      <w:r>
        <w:tab/>
        <w:t>Aim is to confirm, or otherwise, the working assumption at the January ad hoc</w:t>
      </w:r>
    </w:p>
    <w:p w14:paraId="6B1527E3" w14:textId="57989268" w:rsidR="0074344F" w:rsidRDefault="0074344F" w:rsidP="0074344F">
      <w:pPr>
        <w:pStyle w:val="BodyText"/>
      </w:pPr>
    </w:p>
    <w:p w14:paraId="6CD79CB3" w14:textId="6BD3BFD5" w:rsidR="00122952" w:rsidRPr="00CE0424" w:rsidRDefault="00122952" w:rsidP="00CE0424">
      <w:pPr>
        <w:pStyle w:val="BodyText"/>
      </w:pPr>
      <w:r>
        <w:t>In this contribution</w:t>
      </w:r>
      <w:r w:rsidR="001A0893">
        <w:t>,</w:t>
      </w:r>
      <w:r>
        <w:t xml:space="preserve"> we discuss the implications </w:t>
      </w:r>
      <w:r w:rsidR="00610FD9">
        <w:t xml:space="preserve">of </w:t>
      </w:r>
      <w:r>
        <w:t>th</w:t>
      </w:r>
      <w:r w:rsidR="00610FD9">
        <w:t xml:space="preserve">ese agreements and assumptions and </w:t>
      </w:r>
      <w:r w:rsidR="009C3258">
        <w:t xml:space="preserve">propose </w:t>
      </w:r>
      <w:r w:rsidR="00610FD9">
        <w:t xml:space="preserve">further aspects that must be resolved before confirming the </w:t>
      </w:r>
      <w:r w:rsidR="00205C37">
        <w:t xml:space="preserve">previous </w:t>
      </w:r>
      <w:r w:rsidR="00610FD9">
        <w:t xml:space="preserve">working assumptions. </w:t>
      </w:r>
    </w:p>
    <w:p w14:paraId="36CEC7B2" w14:textId="77777777" w:rsidR="001643A8" w:rsidRDefault="004000E8" w:rsidP="00CE0424">
      <w:pPr>
        <w:pStyle w:val="Heading1"/>
      </w:pPr>
      <w:bookmarkStart w:id="1" w:name="_Ref178064866"/>
      <w:r w:rsidRPr="00CE0424">
        <w:t>Discussion</w:t>
      </w:r>
      <w:bookmarkEnd w:id="1"/>
    </w:p>
    <w:p w14:paraId="194A8E05" w14:textId="7F30794D" w:rsidR="00122952" w:rsidRDefault="009C58D2" w:rsidP="009C58D2">
      <w:pPr>
        <w:pStyle w:val="Heading2"/>
      </w:pPr>
      <w:r>
        <w:t>RLC and PDCP sequence numbers</w:t>
      </w:r>
    </w:p>
    <w:p w14:paraId="64F55BED" w14:textId="258BFDF0" w:rsidR="00D003CC" w:rsidRDefault="001B3380" w:rsidP="00372487">
      <w:r>
        <w:t xml:space="preserve">With the current working assumption of not supporting concatenation </w:t>
      </w:r>
      <w:r w:rsidR="001A0893">
        <w:t xml:space="preserve">in </w:t>
      </w:r>
      <w:r>
        <w:t xml:space="preserve">RLC, each PDCP PDU will be mapped to an RLC PDU </w:t>
      </w:r>
      <w:r w:rsidR="001A0893">
        <w:t xml:space="preserve">and </w:t>
      </w:r>
      <w:r>
        <w:t xml:space="preserve">may be concatenated </w:t>
      </w:r>
      <w:r w:rsidR="0074344F">
        <w:t xml:space="preserve">(multiplexed) </w:t>
      </w:r>
      <w:r>
        <w:t xml:space="preserve">with other RLC PDUs </w:t>
      </w:r>
      <w:r w:rsidR="001A0893">
        <w:t xml:space="preserve">in </w:t>
      </w:r>
      <w:r>
        <w:t xml:space="preserve">MAC. </w:t>
      </w:r>
      <w:r w:rsidR="00D003CC">
        <w:t xml:space="preserve">As in LTE, </w:t>
      </w:r>
      <w:r w:rsidR="00D003CC">
        <w:lastRenderedPageBreak/>
        <w:t>RLC AM performs ARQ and both RLC AM and UM perform segmentation and reassembly. Unlike LTE, the RLC receiver is assumed not to ensure in-sequence delivery towards PDCP.</w:t>
      </w:r>
    </w:p>
    <w:p w14:paraId="7EA90BB4" w14:textId="0A498AB1" w:rsidR="00D003CC" w:rsidRDefault="00D003CC" w:rsidP="00D003CC">
      <w:r>
        <w:t xml:space="preserve">Some companies suggested </w:t>
      </w:r>
      <w:r w:rsidRPr="00D003CC">
        <w:t>that</w:t>
      </w:r>
      <w:r>
        <w:t xml:space="preserve"> the 1:1 mapping would allow</w:t>
      </w:r>
      <w:r w:rsidRPr="00D003CC">
        <w:t xml:space="preserve"> PDCP and RLC </w:t>
      </w:r>
      <w:r>
        <w:t xml:space="preserve">to </w:t>
      </w:r>
      <w:r w:rsidRPr="00D003CC">
        <w:t>use a common sequence number</w:t>
      </w:r>
      <w:r>
        <w:t xml:space="preserve"> and thereby to save signalling overhead. </w:t>
      </w:r>
    </w:p>
    <w:p w14:paraId="43903F1D" w14:textId="6D9C4646" w:rsidR="00533838" w:rsidRDefault="00D003CC" w:rsidP="00533838">
      <w:r>
        <w:t xml:space="preserve">However, </w:t>
      </w:r>
      <w:r w:rsidR="00533838">
        <w:t>as discussed in previous meetings, an RLC transmitter entity does not necessarily obtain PDCP PDUs with continuously increasing sequence number</w:t>
      </w:r>
      <w:r w:rsidR="004C79D9">
        <w:t>s. The most prominent example is</w:t>
      </w:r>
      <w:r w:rsidR="00533838">
        <w:t xml:space="preserve"> dual connectivity with a split bearer where separate RLC entities exist in MCG and SCG. But there may also be cases where PDCP PDUs are dropped or lost (e.g. in case of a centralized PDCP entity) resulting in a gap of the observed PDCP SN at the RLC transmitter. One could certainly </w:t>
      </w:r>
      <w:r w:rsidR="004C79D9">
        <w:t xml:space="preserve">introduce </w:t>
      </w:r>
      <w:r w:rsidR="00533838">
        <w:t xml:space="preserve">means to fill these gaps or to inform the RLC receiver to ignore a gap in the received sequence of RLC PDUs. However, the </w:t>
      </w:r>
      <w:r w:rsidR="008E1F09">
        <w:t xml:space="preserve">expected gains do not justify the additional </w:t>
      </w:r>
      <w:r w:rsidR="00533838">
        <w:t>complexity</w:t>
      </w:r>
      <w:r w:rsidR="008E1F09">
        <w:t>, processing and protocol interdependencies</w:t>
      </w:r>
      <w:r w:rsidR="00533838">
        <w:t xml:space="preserve">. </w:t>
      </w:r>
    </w:p>
    <w:p w14:paraId="45DB829B" w14:textId="39A28213" w:rsidR="009F5747" w:rsidRDefault="007A73CC" w:rsidP="007A73CC">
      <w:pPr>
        <w:pStyle w:val="Observation"/>
      </w:pPr>
      <w:bookmarkStart w:id="2" w:name="_Toc470002668"/>
      <w:bookmarkStart w:id="3" w:name="_Toc470032039"/>
      <w:bookmarkStart w:id="4" w:name="_Toc470032051"/>
      <w:bookmarkStart w:id="5" w:name="_Toc470033994"/>
      <w:bookmarkStart w:id="6" w:name="_Toc471463008"/>
      <w:bookmarkStart w:id="7" w:name="_Toc471464349"/>
      <w:r>
        <w:t>A</w:t>
      </w:r>
      <w:r w:rsidRPr="007A73CC">
        <w:t>n RLC transmitter entity does not necessarily obtain a PDCP PDUs with continuously increasing sequence numbers</w:t>
      </w:r>
      <w:r>
        <w:t xml:space="preserve"> (e.g. DC, PDCP drops/losses)</w:t>
      </w:r>
      <w:r w:rsidR="00372487">
        <w:t>.</w:t>
      </w:r>
      <w:bookmarkEnd w:id="2"/>
      <w:bookmarkEnd w:id="3"/>
      <w:bookmarkEnd w:id="4"/>
      <w:bookmarkEnd w:id="5"/>
      <w:bookmarkEnd w:id="6"/>
      <w:bookmarkEnd w:id="7"/>
    </w:p>
    <w:p w14:paraId="74C921F1" w14:textId="3317B485" w:rsidR="00CB2CCE" w:rsidRDefault="008E1F09" w:rsidP="00CB2CCE">
      <w:r>
        <w:t>Furthermore</w:t>
      </w:r>
      <w:r w:rsidR="00CB2CCE">
        <w:t xml:space="preserve">, </w:t>
      </w:r>
      <w:r>
        <w:t xml:space="preserve">there are RLC SDUs which don’t have a PDCP sequence number: </w:t>
      </w:r>
      <w:r w:rsidR="00CB2CCE">
        <w:t xml:space="preserve">PDCP control PDUs do not carry </w:t>
      </w:r>
      <w:r>
        <w:t xml:space="preserve">a </w:t>
      </w:r>
      <w:r w:rsidR="00CB2CCE">
        <w:t>PDCP SN</w:t>
      </w:r>
      <w:r>
        <w:t xml:space="preserve"> </w:t>
      </w:r>
      <w:r w:rsidR="000C3EFA">
        <w:t>since the</w:t>
      </w:r>
      <w:r>
        <w:t>y provide</w:t>
      </w:r>
      <w:r w:rsidR="000C3EFA">
        <w:t xml:space="preserve"> info</w:t>
      </w:r>
      <w:r>
        <w:t>rmation</w:t>
      </w:r>
      <w:r w:rsidR="000C3EFA">
        <w:t xml:space="preserve"> about the reverse di</w:t>
      </w:r>
      <w:r>
        <w:t>rection (ROHC, status report)</w:t>
      </w:r>
      <w:r w:rsidR="00DF730E">
        <w:t xml:space="preserve">. </w:t>
      </w:r>
      <w:r w:rsidR="0061589B">
        <w:t>The lack of a PDCP SN is an important property as it allows the PDCP transmitter to inject these control PDUs as soon as they become available without affecting the possibly pre-generated sequence number</w:t>
      </w:r>
      <w:r w:rsidR="007A73CC">
        <w:t>s</w:t>
      </w:r>
      <w:r w:rsidR="0061589B">
        <w:t xml:space="preserve"> </w:t>
      </w:r>
      <w:r w:rsidR="007A73CC">
        <w:t>o</w:t>
      </w:r>
      <w:r w:rsidR="0061589B">
        <w:t>f PDCP data PDU</w:t>
      </w:r>
      <w:r w:rsidR="007A73CC">
        <w:t>s</w:t>
      </w:r>
      <w:r w:rsidR="0061589B">
        <w:t xml:space="preserve"> in the same logical channel</w:t>
      </w:r>
      <w:r w:rsidR="00DF730E">
        <w:t>.</w:t>
      </w:r>
    </w:p>
    <w:p w14:paraId="15799064" w14:textId="3DB6CC21" w:rsidR="0054025E" w:rsidRDefault="0054025E" w:rsidP="007A73CC">
      <w:pPr>
        <w:pStyle w:val="Observation"/>
      </w:pPr>
      <w:bookmarkStart w:id="8" w:name="_Toc470002669"/>
      <w:bookmarkStart w:id="9" w:name="_Toc470032040"/>
      <w:bookmarkStart w:id="10" w:name="_Toc470032052"/>
      <w:bookmarkStart w:id="11" w:name="_Toc470033995"/>
      <w:bookmarkStart w:id="12" w:name="_Toc471463009"/>
      <w:bookmarkStart w:id="13" w:name="_Toc471464350"/>
      <w:r>
        <w:t>PD</w:t>
      </w:r>
      <w:r w:rsidR="002033F1">
        <w:t xml:space="preserve">CP control PDUs do </w:t>
      </w:r>
      <w:r w:rsidR="007A73CC">
        <w:t xml:space="preserve">intentionally </w:t>
      </w:r>
      <w:r w:rsidR="002033F1">
        <w:t xml:space="preserve">not carry </w:t>
      </w:r>
      <w:r w:rsidR="007A73CC">
        <w:t xml:space="preserve">a PDCP </w:t>
      </w:r>
      <w:r w:rsidR="002033F1">
        <w:t>SNs</w:t>
      </w:r>
      <w:r w:rsidR="007A73CC">
        <w:t xml:space="preserve"> but they require a sequence number on RLC level for ARQ and segmentation/reassembly</w:t>
      </w:r>
      <w:r>
        <w:t>.</w:t>
      </w:r>
      <w:bookmarkEnd w:id="8"/>
      <w:bookmarkEnd w:id="9"/>
      <w:bookmarkEnd w:id="10"/>
      <w:bookmarkEnd w:id="11"/>
      <w:bookmarkEnd w:id="12"/>
      <w:bookmarkEnd w:id="13"/>
    </w:p>
    <w:p w14:paraId="6B689471" w14:textId="269EF23E" w:rsidR="007724CB" w:rsidRDefault="00C033A3" w:rsidP="0068673E">
      <w:r>
        <w:t xml:space="preserve">Based on the observations above, we propose </w:t>
      </w:r>
      <w:r w:rsidRPr="00044FED">
        <w:rPr>
          <w:b/>
        </w:rPr>
        <w:t>not</w:t>
      </w:r>
      <w:r>
        <w:t xml:space="preserve"> </w:t>
      </w:r>
      <w:r w:rsidR="00841966">
        <w:t xml:space="preserve">to </w:t>
      </w:r>
      <w:r>
        <w:t xml:space="preserve">reuse PDCP SNs in RLC. </w:t>
      </w:r>
    </w:p>
    <w:p w14:paraId="599AF284" w14:textId="28FDCA7A" w:rsidR="00372487" w:rsidRDefault="00372487" w:rsidP="00372487">
      <w:pPr>
        <w:pStyle w:val="Proposal"/>
      </w:pPr>
      <w:bookmarkStart w:id="14" w:name="_Ref470021647"/>
      <w:bookmarkStart w:id="15" w:name="_Toc470032066"/>
      <w:bookmarkStart w:id="16" w:name="_Toc470033999"/>
      <w:bookmarkStart w:id="17" w:name="_Toc471463013"/>
      <w:bookmarkStart w:id="18" w:name="_Toc471464352"/>
      <w:bookmarkStart w:id="19" w:name="_Toc470002685"/>
      <w:r>
        <w:t xml:space="preserve">RLC and PDCP </w:t>
      </w:r>
      <w:r w:rsidR="00841966">
        <w:t>operate with separate and independent sequence numbers</w:t>
      </w:r>
      <w:r w:rsidR="007724CB">
        <w:t>.</w:t>
      </w:r>
      <w:bookmarkEnd w:id="14"/>
      <w:bookmarkEnd w:id="15"/>
      <w:bookmarkEnd w:id="16"/>
      <w:bookmarkEnd w:id="17"/>
      <w:bookmarkEnd w:id="18"/>
    </w:p>
    <w:bookmarkEnd w:id="19"/>
    <w:p w14:paraId="0701CEED" w14:textId="60663F44" w:rsidR="00C033A3" w:rsidRDefault="007A73CC" w:rsidP="006E062C">
      <w:r>
        <w:t xml:space="preserve">While we believe that PDCP and RLC should use their own sequence numbers, </w:t>
      </w:r>
      <w:r w:rsidR="002100CC">
        <w:t>the fact that an RLC transmitter maps each PDCP PDU into one RLC PDU suggests that the sequence number spaces of the two protocols should be equivalent</w:t>
      </w:r>
      <w:r w:rsidR="00C033A3">
        <w:t xml:space="preserve">. </w:t>
      </w:r>
    </w:p>
    <w:p w14:paraId="130357C0" w14:textId="5C608B31" w:rsidR="009C58D2" w:rsidRDefault="002100CC" w:rsidP="00104193">
      <w:pPr>
        <w:pStyle w:val="Proposal"/>
      </w:pPr>
      <w:bookmarkStart w:id="20" w:name="_Toc471464353"/>
      <w:bookmarkStart w:id="21" w:name="_Toc470002686"/>
      <w:bookmarkStart w:id="22" w:name="_Ref470021649"/>
      <w:bookmarkStart w:id="23" w:name="_Toc470032067"/>
      <w:bookmarkStart w:id="24" w:name="_Toc470034000"/>
      <w:bookmarkStart w:id="25" w:name="_Toc471463014"/>
      <w:r>
        <w:t xml:space="preserve">As baseline, </w:t>
      </w:r>
      <w:r w:rsidR="009F5747">
        <w:t xml:space="preserve">RLC </w:t>
      </w:r>
      <w:r>
        <w:t xml:space="preserve">and </w:t>
      </w:r>
      <w:r w:rsidR="005977D1">
        <w:t xml:space="preserve">PDCP </w:t>
      </w:r>
      <w:r>
        <w:t>should support the same sequence number space (e.g. 18 bit)</w:t>
      </w:r>
      <w:r w:rsidR="005977D1">
        <w:t>.</w:t>
      </w:r>
      <w:bookmarkEnd w:id="20"/>
      <w:r w:rsidR="00864667">
        <w:t xml:space="preserve"> </w:t>
      </w:r>
      <w:bookmarkEnd w:id="21"/>
      <w:bookmarkEnd w:id="22"/>
      <w:bookmarkEnd w:id="23"/>
      <w:bookmarkEnd w:id="24"/>
      <w:bookmarkEnd w:id="25"/>
    </w:p>
    <w:p w14:paraId="1CCC4B1F" w14:textId="36744F39" w:rsidR="009C58D2" w:rsidRDefault="009C58D2" w:rsidP="009C58D2">
      <w:pPr>
        <w:pStyle w:val="Heading2"/>
      </w:pPr>
      <w:bookmarkStart w:id="26" w:name="_Ref470027831"/>
      <w:r>
        <w:t>RLC</w:t>
      </w:r>
      <w:r w:rsidR="00997E51">
        <w:t xml:space="preserve"> segmentation and</w:t>
      </w:r>
      <w:r>
        <w:t xml:space="preserve"> header length</w:t>
      </w:r>
      <w:bookmarkEnd w:id="26"/>
    </w:p>
    <w:p w14:paraId="5EED32AD" w14:textId="7F997106" w:rsidR="009C58D2" w:rsidRDefault="00472C1A" w:rsidP="006E062C">
      <w:r>
        <w:t xml:space="preserve">In the following we review the working assumption on not supporting concatenation in RLC and the </w:t>
      </w:r>
      <w:r w:rsidR="00FC677F">
        <w:t xml:space="preserve">assumption </w:t>
      </w:r>
      <w:r>
        <w:t xml:space="preserve">that SO-based re-segmentation can be reused also for segmentation. </w:t>
      </w:r>
      <w:r>
        <w:fldChar w:fldCharType="begin"/>
      </w:r>
      <w:r>
        <w:instrText xml:space="preserve"> REF _Ref468199570 \h </w:instrText>
      </w:r>
      <w:r>
        <w:fldChar w:fldCharType="separate"/>
      </w:r>
      <w:r w:rsidR="001278B3">
        <w:t xml:space="preserve">Figure </w:t>
      </w:r>
      <w:r w:rsidR="001278B3">
        <w:rPr>
          <w:noProof/>
        </w:rPr>
        <w:t>1</w:t>
      </w:r>
      <w:r>
        <w:fldChar w:fldCharType="end"/>
      </w:r>
      <w:r w:rsidR="00EF0642">
        <w:t xml:space="preserve"> illustrates how the MAC PDU is constructed</w:t>
      </w:r>
      <w:r w:rsidR="00B81F5B">
        <w:t>, which is also further discussed below</w:t>
      </w:r>
      <w:r w:rsidR="00EF0642">
        <w:t>.</w:t>
      </w:r>
      <w:r w:rsidR="006523D2">
        <w:t xml:space="preserve"> It is highlighted in green, which header and payload can be pre-processed and stored in memory. It is shown in red, which headers must be created or modified on the fly i.e. are dependent on TB size. </w:t>
      </w:r>
    </w:p>
    <w:p w14:paraId="7B78EB9F" w14:textId="12401642" w:rsidR="00472C1A" w:rsidRDefault="00472C1A" w:rsidP="00472C1A">
      <w:pPr>
        <w:keepNext/>
      </w:pPr>
    </w:p>
    <w:p w14:paraId="1CE98490" w14:textId="17830362" w:rsidR="001B5956" w:rsidRDefault="001A4174" w:rsidP="00472C1A">
      <w:pPr>
        <w:keepNext/>
      </w:pPr>
      <w:r>
        <w:rPr>
          <w:noProof/>
          <w:lang w:eastAsia="ja-JP"/>
        </w:rPr>
        <w:drawing>
          <wp:inline distT="0" distB="0" distL="0" distR="0" wp14:anchorId="3FA84D0A" wp14:editId="5FDC4821">
            <wp:extent cx="6106601" cy="171420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8909" cy="1726081"/>
                    </a:xfrm>
                    <a:prstGeom prst="rect">
                      <a:avLst/>
                    </a:prstGeom>
                    <a:noFill/>
                  </pic:spPr>
                </pic:pic>
              </a:graphicData>
            </a:graphic>
          </wp:inline>
        </w:drawing>
      </w:r>
    </w:p>
    <w:p w14:paraId="547E1B18" w14:textId="3C639A62" w:rsidR="00472C1A" w:rsidRDefault="00472C1A" w:rsidP="00472C1A">
      <w:pPr>
        <w:pStyle w:val="Caption"/>
      </w:pPr>
      <w:bookmarkStart w:id="27" w:name="_Ref468199570"/>
      <w:r>
        <w:t xml:space="preserve">Figure </w:t>
      </w:r>
      <w:r>
        <w:fldChar w:fldCharType="begin"/>
      </w:r>
      <w:r>
        <w:instrText xml:space="preserve"> SEQ Figure \* ARABIC </w:instrText>
      </w:r>
      <w:r>
        <w:fldChar w:fldCharType="separate"/>
      </w:r>
      <w:r w:rsidR="001278B3">
        <w:rPr>
          <w:noProof/>
        </w:rPr>
        <w:t>1</w:t>
      </w:r>
      <w:r>
        <w:fldChar w:fldCharType="end"/>
      </w:r>
      <w:bookmarkEnd w:id="27"/>
      <w:r>
        <w:t>: MAC PDU construction.</w:t>
      </w:r>
    </w:p>
    <w:p w14:paraId="4AA3E0CF" w14:textId="617A40BD" w:rsidR="009D6456" w:rsidRDefault="004C79D9" w:rsidP="006E062C">
      <w:r>
        <w:t>Per</w:t>
      </w:r>
      <w:r w:rsidR="009D6456">
        <w:t xml:space="preserve"> our understanding, MAC sub</w:t>
      </w:r>
      <w:r w:rsidR="001A68CB">
        <w:t>-</w:t>
      </w:r>
      <w:r w:rsidR="009D6456">
        <w:t xml:space="preserve">headers </w:t>
      </w:r>
      <w:r w:rsidR="00987886">
        <w:t xml:space="preserve">would be interleaved in the solution without </w:t>
      </w:r>
      <w:r w:rsidR="009D6456">
        <w:t xml:space="preserve">RLC concatenation. This way, </w:t>
      </w:r>
      <w:r w:rsidR="00DC1E4E">
        <w:t>the MAC sub</w:t>
      </w:r>
      <w:r w:rsidR="001A68CB">
        <w:t>-</w:t>
      </w:r>
      <w:r w:rsidR="00DC1E4E">
        <w:t>headers</w:t>
      </w:r>
      <w:r w:rsidR="009D6456">
        <w:t xml:space="preserve"> </w:t>
      </w:r>
      <w:r w:rsidR="00316AA7">
        <w:t xml:space="preserve">as well as RLC and PDCP headers </w:t>
      </w:r>
      <w:r w:rsidR="009D6456">
        <w:t>could be pre-</w:t>
      </w:r>
      <w:r w:rsidR="00316AA7">
        <w:t>generated.</w:t>
      </w:r>
    </w:p>
    <w:p w14:paraId="2DBC1B4D" w14:textId="17CD8BE3" w:rsidR="009D6456" w:rsidRDefault="009D6456" w:rsidP="009D6456">
      <w:pPr>
        <w:pStyle w:val="Proposal"/>
      </w:pPr>
      <w:bookmarkStart w:id="28" w:name="_Toc470002687"/>
      <w:bookmarkStart w:id="29" w:name="_Toc470032068"/>
      <w:bookmarkStart w:id="30" w:name="_Toc470034001"/>
      <w:bookmarkStart w:id="31" w:name="_Toc471463015"/>
      <w:bookmarkStart w:id="32" w:name="_Toc471464354"/>
      <w:r>
        <w:t>Confirm that MAC sub</w:t>
      </w:r>
      <w:r w:rsidR="001A68CB">
        <w:t>-</w:t>
      </w:r>
      <w:r>
        <w:t>headers are interleaved with RLC PDUs.</w:t>
      </w:r>
      <w:bookmarkEnd w:id="28"/>
      <w:bookmarkEnd w:id="29"/>
      <w:bookmarkEnd w:id="30"/>
      <w:bookmarkEnd w:id="31"/>
      <w:bookmarkEnd w:id="32"/>
    </w:p>
    <w:p w14:paraId="37605D5F" w14:textId="2F05105D" w:rsidR="005E52BC" w:rsidRDefault="00316AA7" w:rsidP="006E062C">
      <w:r>
        <w:lastRenderedPageBreak/>
        <w:t xml:space="preserve">If RLC does no longer support </w:t>
      </w:r>
      <w:r w:rsidR="00EF0642">
        <w:t xml:space="preserve">concatenation of RLC SDUs, the variable length train of L-fields in RLC is not needed anymore. The MAC L field </w:t>
      </w:r>
      <w:r>
        <w:t xml:space="preserve">points to the end of the RLC PDU and thereby to the beginning of the next MAC sub-header. </w:t>
      </w:r>
    </w:p>
    <w:p w14:paraId="4C5F75BF" w14:textId="5C4CFB22" w:rsidR="00052FE5" w:rsidRDefault="00A46E87" w:rsidP="006E062C">
      <w:r>
        <w:t xml:space="preserve">The RLC header </w:t>
      </w:r>
      <w:r w:rsidR="005E52BC">
        <w:t xml:space="preserve">must indicate whether </w:t>
      </w:r>
      <w:r>
        <w:t xml:space="preserve">a complete AMD PDU or just an AMD PDU Segment follows. If it is a segment, the Segment Offset (SO) field should indicate the position of the first payload octet in the SDU. </w:t>
      </w:r>
      <w:r w:rsidR="00052FE5">
        <w:t xml:space="preserve">When the RLC transmitter pre-generates RLC headers, it will typically assume that all RLC PDUs can be sent without segmentation and will </w:t>
      </w:r>
      <w:r w:rsidR="004C79D9">
        <w:t xml:space="preserve">hence </w:t>
      </w:r>
      <w:r w:rsidR="00052FE5">
        <w:t xml:space="preserve">not include the SO field. When the RLC transmitter is unable to send the entire RLC PDU due to limited space in the MAC PDU, it must at least indicate that the last payload octet of the RLC PDU is not the last octet of the RLC SDU. But since the first octet of the RLC PDU payload contains the first octet of the RLC SDU, the segment offset is 0 and should preferably be omitted. This avoids having to update the RLC header </w:t>
      </w:r>
      <w:r w:rsidR="00052FE5" w:rsidRPr="004C79D9">
        <w:rPr>
          <w:u w:val="single"/>
        </w:rPr>
        <w:t>size</w:t>
      </w:r>
      <w:r w:rsidR="00052FE5">
        <w:t xml:space="preserve"> for the first segment of an PDU. </w:t>
      </w:r>
    </w:p>
    <w:p w14:paraId="6B6C2D27" w14:textId="0E72C991" w:rsidR="00052FE5" w:rsidRDefault="00052FE5" w:rsidP="00D92645">
      <w:pPr>
        <w:pStyle w:val="Proposal"/>
      </w:pPr>
      <w:bookmarkStart w:id="33" w:name="_Ref470021665"/>
      <w:bookmarkStart w:id="34" w:name="_Ref470027997"/>
      <w:bookmarkStart w:id="35" w:name="_Toc470032069"/>
      <w:bookmarkStart w:id="36" w:name="_Toc470034002"/>
      <w:bookmarkStart w:id="37" w:name="_Toc471463016"/>
      <w:bookmarkStart w:id="38" w:name="_Toc471464355"/>
      <w:r>
        <w:t xml:space="preserve">The header of the RLC AMD PDU indicates </w:t>
      </w:r>
      <w:r w:rsidR="00F91A26">
        <w:t xml:space="preserve">with one bit whether </w:t>
      </w:r>
      <w:r>
        <w:t xml:space="preserve">the last octet of the RLC PDU </w:t>
      </w:r>
      <w:r w:rsidR="00831268">
        <w:t xml:space="preserve">payload </w:t>
      </w:r>
      <w:r>
        <w:t>is also the last octet of the RLC SDU.</w:t>
      </w:r>
      <w:bookmarkEnd w:id="33"/>
      <w:bookmarkEnd w:id="34"/>
      <w:bookmarkEnd w:id="35"/>
      <w:bookmarkEnd w:id="36"/>
      <w:bookmarkEnd w:id="37"/>
      <w:bookmarkEnd w:id="38"/>
    </w:p>
    <w:p w14:paraId="53501AFF" w14:textId="7523B725" w:rsidR="00F91A26" w:rsidRDefault="00052FE5" w:rsidP="006E062C">
      <w:r>
        <w:t xml:space="preserve">Any subsequent segment (not starting with the first octet of the RLC SDU) must carry the additional SO field. To inform the RLC receiver </w:t>
      </w:r>
      <w:r w:rsidR="0036168A">
        <w:t>whether</w:t>
      </w:r>
      <w:r>
        <w:t xml:space="preserve"> the SO field </w:t>
      </w:r>
      <w:r w:rsidR="0036168A">
        <w:t>follows</w:t>
      </w:r>
      <w:r>
        <w:t xml:space="preserve"> the RLC “base header”, an additional bit is needed</w:t>
      </w:r>
      <w:r w:rsidR="00F91A26">
        <w:t xml:space="preserve"> in the AMD PDU header:</w:t>
      </w:r>
    </w:p>
    <w:p w14:paraId="69E5E87B" w14:textId="704E9177" w:rsidR="00104193" w:rsidRDefault="00F91A26" w:rsidP="00D92645">
      <w:pPr>
        <w:pStyle w:val="Proposal"/>
      </w:pPr>
      <w:bookmarkStart w:id="39" w:name="_Toc470032070"/>
      <w:bookmarkStart w:id="40" w:name="_Toc470034003"/>
      <w:bookmarkStart w:id="41" w:name="_Toc471463017"/>
      <w:bookmarkStart w:id="42" w:name="_Toc471464356"/>
      <w:bookmarkStart w:id="43" w:name="_Ref470021667"/>
      <w:r>
        <w:t xml:space="preserve">The header of the RLC AMD PDU indicates with one bit whether the first octet of the RLC PDU </w:t>
      </w:r>
      <w:r w:rsidR="00831268">
        <w:t xml:space="preserve">payload </w:t>
      </w:r>
      <w:r>
        <w:t>is also the first octet of the RLC SDU</w:t>
      </w:r>
      <w:r w:rsidR="00CF6856">
        <w:t>.</w:t>
      </w:r>
      <w:bookmarkEnd w:id="39"/>
      <w:bookmarkEnd w:id="40"/>
      <w:bookmarkEnd w:id="41"/>
      <w:bookmarkEnd w:id="42"/>
      <w:r w:rsidR="00CF6856">
        <w:t xml:space="preserve"> </w:t>
      </w:r>
    </w:p>
    <w:p w14:paraId="714CC4DA" w14:textId="207B37CC" w:rsidR="00F91A26" w:rsidRDefault="00CF6856" w:rsidP="00D92645">
      <w:pPr>
        <w:pStyle w:val="Proposal"/>
      </w:pPr>
      <w:bookmarkStart w:id="44" w:name="_Toc470032071"/>
      <w:bookmarkStart w:id="45" w:name="_Toc470034004"/>
      <w:bookmarkStart w:id="46" w:name="_Toc471463018"/>
      <w:bookmarkStart w:id="47" w:name="_Toc471464357"/>
      <w:r>
        <w:t>I</w:t>
      </w:r>
      <w:r w:rsidR="00F91A26">
        <w:t xml:space="preserve">f </w:t>
      </w:r>
      <w:r w:rsidR="00104193">
        <w:t xml:space="preserve">the above-mentioned header field indicates </w:t>
      </w:r>
      <w:r w:rsidR="006F4584">
        <w:t xml:space="preserve">that the first octet of the RLC PDU is not the first octet of the RLC SDU </w:t>
      </w:r>
      <w:r w:rsidR="00F91A26">
        <w:t>the SO field is present in the header.</w:t>
      </w:r>
      <w:bookmarkEnd w:id="43"/>
      <w:bookmarkEnd w:id="44"/>
      <w:bookmarkEnd w:id="45"/>
      <w:bookmarkEnd w:id="46"/>
      <w:bookmarkEnd w:id="47"/>
    </w:p>
    <w:p w14:paraId="3F1B9E64" w14:textId="1C2060D6" w:rsidR="00EF1B1F" w:rsidRDefault="00D92645" w:rsidP="0036168A">
      <w:r>
        <w:t xml:space="preserve">With </w:t>
      </w:r>
      <w:r>
        <w:fldChar w:fldCharType="begin"/>
      </w:r>
      <w:r>
        <w:instrText xml:space="preserve"> REF _Ref470021665 \r \h </w:instrText>
      </w:r>
      <w:r>
        <w:fldChar w:fldCharType="separate"/>
      </w:r>
      <w:r w:rsidR="001278B3">
        <w:t>Proposal 4</w:t>
      </w:r>
      <w:r>
        <w:fldChar w:fldCharType="end"/>
      </w:r>
      <w:r>
        <w:t xml:space="preserve"> and </w:t>
      </w:r>
      <w:r>
        <w:fldChar w:fldCharType="begin"/>
      </w:r>
      <w:r>
        <w:instrText xml:space="preserve"> REF _Ref470021667 \r \h </w:instrText>
      </w:r>
      <w:r>
        <w:fldChar w:fldCharType="separate"/>
      </w:r>
      <w:r w:rsidR="001278B3">
        <w:t>Proposal 5</w:t>
      </w:r>
      <w:r>
        <w:fldChar w:fldCharType="end"/>
      </w:r>
      <w:r>
        <w:t xml:space="preserve"> these two bit follow largely the definition of the FI field in the LTE RLC header. </w:t>
      </w:r>
      <w:r w:rsidR="006F4584" w:rsidRPr="006F4584">
        <w:t>Of course, the exact placement of the header fields can be discussed in the work item phase.</w:t>
      </w:r>
      <w:r w:rsidR="0036168A">
        <w:t xml:space="preserve"> </w:t>
      </w:r>
    </w:p>
    <w:p w14:paraId="0C43BEA5" w14:textId="1BF45B84" w:rsidR="009C58D2" w:rsidRDefault="00952808" w:rsidP="009C58D2">
      <w:pPr>
        <w:pStyle w:val="Heading2"/>
      </w:pPr>
      <w:r>
        <w:t>Multiple transport blocks and LCP</w:t>
      </w:r>
    </w:p>
    <w:p w14:paraId="3EA8701C" w14:textId="384612A0" w:rsidR="00573AF9" w:rsidRDefault="007801C2" w:rsidP="00952808">
      <w:r w:rsidRPr="007801C2">
        <w:t xml:space="preserve">The UE may need to create multiple transport blocks (TB) within the same </w:t>
      </w:r>
      <w:r w:rsidR="00F44C8D">
        <w:t>TTI</w:t>
      </w:r>
      <w:r w:rsidRPr="007801C2">
        <w:t xml:space="preserve"> when carrier aggregation or MIMO is used. </w:t>
      </w:r>
      <w:r>
        <w:t>The TBs may be filled from the same logical channel</w:t>
      </w:r>
      <w:r w:rsidR="006840C9">
        <w:t xml:space="preserve"> and </w:t>
      </w:r>
      <w:r w:rsidR="00AF447E">
        <w:t>thus</w:t>
      </w:r>
      <w:r w:rsidR="006840C9">
        <w:t>, the</w:t>
      </w:r>
      <w:r>
        <w:t xml:space="preserve"> implementation must be fast enough in this case to produce all the TBs in time. </w:t>
      </w:r>
      <w:r w:rsidR="00B43533">
        <w:t>That means, the UE must determine which (parts of) which RLC PDUs to transmit in which transport block (MAC PDU). If an RLC PDU does not fit entirely into a transport block, it must be segmented, i.e., a bit must be set in the header to indicate</w:t>
      </w:r>
      <w:r w:rsidR="00B43533" w:rsidRPr="00B43533">
        <w:t xml:space="preserve"> </w:t>
      </w:r>
      <w:r w:rsidR="00B43533">
        <w:t xml:space="preserve">that </w:t>
      </w:r>
      <w:r w:rsidR="00B43533" w:rsidRPr="00B43533">
        <w:t xml:space="preserve">the last octet of the RLC PDU is </w:t>
      </w:r>
      <w:r w:rsidR="00B43533">
        <w:t xml:space="preserve">not </w:t>
      </w:r>
      <w:r w:rsidR="00B43533" w:rsidRPr="00B43533">
        <w:t>the last octet of the RLC SDU</w:t>
      </w:r>
      <w:r w:rsidR="00B43533">
        <w:t xml:space="preserve"> (see </w:t>
      </w:r>
      <w:r w:rsidR="00B43533">
        <w:fldChar w:fldCharType="begin"/>
      </w:r>
      <w:r w:rsidR="00B43533">
        <w:instrText xml:space="preserve"> REF _Ref470027997 \r \h </w:instrText>
      </w:r>
      <w:r w:rsidR="00B43533">
        <w:fldChar w:fldCharType="separate"/>
      </w:r>
      <w:r w:rsidR="001278B3">
        <w:t>Proposal 4</w:t>
      </w:r>
      <w:r w:rsidR="00B43533">
        <w:fldChar w:fldCharType="end"/>
      </w:r>
      <w:r w:rsidR="00B43533">
        <w:t>). Due to the definition of the two bits (</w:t>
      </w:r>
      <w:r w:rsidR="00B43533">
        <w:fldChar w:fldCharType="begin"/>
      </w:r>
      <w:r w:rsidR="00B43533">
        <w:instrText xml:space="preserve"> REF _Ref470021665 \r \h </w:instrText>
      </w:r>
      <w:r w:rsidR="00B43533">
        <w:fldChar w:fldCharType="separate"/>
      </w:r>
      <w:r w:rsidR="001278B3">
        <w:t>Proposal 4</w:t>
      </w:r>
      <w:r w:rsidR="00B43533">
        <w:fldChar w:fldCharType="end"/>
      </w:r>
      <w:r w:rsidR="00B43533">
        <w:t xml:space="preserve"> and </w:t>
      </w:r>
      <w:r w:rsidR="00B43533">
        <w:fldChar w:fldCharType="begin"/>
      </w:r>
      <w:r w:rsidR="00B43533">
        <w:instrText xml:space="preserve"> REF _Ref470021667 \r \h </w:instrText>
      </w:r>
      <w:r w:rsidR="00B43533">
        <w:fldChar w:fldCharType="separate"/>
      </w:r>
      <w:r w:rsidR="001278B3">
        <w:t>Proposal 5</w:t>
      </w:r>
      <w:r w:rsidR="00B43533">
        <w:fldChar w:fldCharType="end"/>
      </w:r>
      <w:r w:rsidR="00B43533">
        <w:t xml:space="preserve">) the SO field does not need to be added to the RLC header in this transport block. However, </w:t>
      </w:r>
      <w:r w:rsidR="00573AF9">
        <w:t xml:space="preserve">also </w:t>
      </w:r>
      <w:r w:rsidR="00B43533">
        <w:t xml:space="preserve">the remainder of this segmented RLC PDU should be transmitted in another transport block of the same TTI. </w:t>
      </w:r>
    </w:p>
    <w:p w14:paraId="0BC4D0F7" w14:textId="59562E66" w:rsidR="007801C2" w:rsidRDefault="00573AF9" w:rsidP="00952808">
      <w:r>
        <w:t>At RAN2-96 some companies suggested that the remainder of a segmented PDU could be postponed to a subsequent TTI while the UE could fill a second transport</w:t>
      </w:r>
      <w:r w:rsidR="004C54B9">
        <w:t xml:space="preserve"> block</w:t>
      </w:r>
      <w:r>
        <w:t xml:space="preserve"> with another RLC PDU. However, this would have the undesirable consequence that, when the sum of all TBs suffices for the number of transmittable octets, the UE transmits padding rather than draining the buffer. In fact, this is likely that this happens at the end of ever data burst. </w:t>
      </w:r>
      <w:r w:rsidR="005804C2">
        <w:t xml:space="preserve">To avoid resource inefficiency and additional transmission delay at the end of a data burst we suggest the following: </w:t>
      </w:r>
    </w:p>
    <w:p w14:paraId="046C7BA0" w14:textId="20C9AE73" w:rsidR="00FF4B21" w:rsidRDefault="00A279E6" w:rsidP="00FF4B21">
      <w:pPr>
        <w:pStyle w:val="Proposal"/>
      </w:pPr>
      <w:bookmarkStart w:id="48" w:name="_Ref470031888"/>
      <w:bookmarkStart w:id="49" w:name="_Toc470032074"/>
      <w:bookmarkStart w:id="50" w:name="_Toc470034007"/>
      <w:bookmarkStart w:id="51" w:name="_Toc471463021"/>
      <w:bookmarkStart w:id="52" w:name="_Toc471464358"/>
      <w:r>
        <w:t>The UE</w:t>
      </w:r>
      <w:r w:rsidR="00FF4B21">
        <w:t xml:space="preserve"> shall transmit the remainder of </w:t>
      </w:r>
      <w:r>
        <w:t>segmented RLC PDU in another transport block of the same subframe if such is available for the UE</w:t>
      </w:r>
      <w:r w:rsidR="00FF4B21" w:rsidRPr="00FF4B21">
        <w:t>.</w:t>
      </w:r>
      <w:bookmarkEnd w:id="48"/>
      <w:bookmarkEnd w:id="49"/>
      <w:bookmarkEnd w:id="50"/>
      <w:bookmarkEnd w:id="51"/>
      <w:bookmarkEnd w:id="52"/>
    </w:p>
    <w:p w14:paraId="74364385" w14:textId="7DBCECB5" w:rsidR="004C54B9" w:rsidRDefault="004C54B9" w:rsidP="004C54B9">
      <w:r>
        <w:t xml:space="preserve">This is also depicted in </w:t>
      </w:r>
      <w:r>
        <w:fldChar w:fldCharType="begin"/>
      </w:r>
      <w:r>
        <w:instrText xml:space="preserve"> REF _Ref470031966 \h </w:instrText>
      </w:r>
      <w:r>
        <w:fldChar w:fldCharType="separate"/>
      </w:r>
      <w:r w:rsidR="001278B3">
        <w:t xml:space="preserve">Figure </w:t>
      </w:r>
      <w:r w:rsidR="001278B3">
        <w:rPr>
          <w:noProof/>
        </w:rPr>
        <w:t>2</w:t>
      </w:r>
      <w:r>
        <w:fldChar w:fldCharType="end"/>
      </w:r>
      <w:r>
        <w:t xml:space="preserve"> where the remainder of the last PDCP PDU in TB1 is transmitted in the beginning of TB2.</w:t>
      </w:r>
    </w:p>
    <w:p w14:paraId="3F36E4B7" w14:textId="77777777" w:rsidR="005804C2" w:rsidRDefault="005804C2" w:rsidP="005804C2">
      <w:pPr>
        <w:keepNext/>
      </w:pPr>
      <w:r>
        <w:rPr>
          <w:noProof/>
          <w:lang w:eastAsia="ja-JP"/>
        </w:rPr>
        <w:lastRenderedPageBreak/>
        <w:drawing>
          <wp:inline distT="0" distB="0" distL="0" distR="0" wp14:anchorId="6BE00CDE" wp14:editId="0D5A9278">
            <wp:extent cx="6104809" cy="27787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6695" cy="2784179"/>
                    </a:xfrm>
                    <a:prstGeom prst="rect">
                      <a:avLst/>
                    </a:prstGeom>
                    <a:noFill/>
                  </pic:spPr>
                </pic:pic>
              </a:graphicData>
            </a:graphic>
          </wp:inline>
        </w:drawing>
      </w:r>
    </w:p>
    <w:p w14:paraId="37F12170" w14:textId="7E95F3DB" w:rsidR="005804C2" w:rsidRDefault="005804C2" w:rsidP="005804C2">
      <w:pPr>
        <w:pStyle w:val="Caption"/>
      </w:pPr>
      <w:bookmarkStart w:id="53" w:name="_Ref470031966"/>
      <w:r>
        <w:t xml:space="preserve">Figure </w:t>
      </w:r>
      <w:r>
        <w:fldChar w:fldCharType="begin"/>
      </w:r>
      <w:r>
        <w:instrText xml:space="preserve"> SEQ Figure \* ARABIC </w:instrText>
      </w:r>
      <w:r>
        <w:fldChar w:fldCharType="separate"/>
      </w:r>
      <w:r w:rsidR="001278B3">
        <w:rPr>
          <w:noProof/>
        </w:rPr>
        <w:t>2</w:t>
      </w:r>
      <w:r>
        <w:fldChar w:fldCharType="end"/>
      </w:r>
      <w:bookmarkEnd w:id="53"/>
      <w:r>
        <w:t xml:space="preserve">: RLC PDUs with sequential sequence number within a transport block </w:t>
      </w:r>
      <w:r>
        <w:br/>
        <w:t>and across transport blocks of the same subframe.</w:t>
      </w:r>
    </w:p>
    <w:p w14:paraId="2CBDAB5F" w14:textId="77777777" w:rsidR="00FF4B21" w:rsidRDefault="00FF4B21" w:rsidP="00FF4B21">
      <w:r>
        <w:t>Furthermore, it was suggested that the UE may fill a transport block with RLC PDUs that are not in continuously increasing sequence number order. For example, transport block A could carry RLC PDUs with sequence numbers 1, 3, 5 and a segment of PDU 7. Another transport block B in the same subframe could carry RLC PDUs 2, 4, 6 and a segment of PDU 8. It was argued that this could allow the transmitter to start sending RLC PDUs towards L1 before determining how many RLC PDUs this transport block could serve in total. However, it contradicts the original argumentation that the removal of concatenation allows building a sequential stream of MAC/RLC/PDCP PDUs and feeding that stream quickly to L1. More importantly, it further increases the processing load on the receiver side.</w:t>
      </w:r>
    </w:p>
    <w:p w14:paraId="03641BF4" w14:textId="5EEAAF67" w:rsidR="00FF4B21" w:rsidRDefault="00FF4B21" w:rsidP="00FF4B21">
      <w:pPr>
        <w:pStyle w:val="Observation"/>
      </w:pPr>
      <w:bookmarkStart w:id="54" w:name="_Toc470002671"/>
      <w:bookmarkStart w:id="55" w:name="_Toc470032043"/>
      <w:bookmarkStart w:id="56" w:name="_Toc470032055"/>
      <w:bookmarkStart w:id="57" w:name="_Toc470033998"/>
      <w:bookmarkStart w:id="58" w:name="_Toc471463012"/>
      <w:bookmarkStart w:id="59" w:name="_Toc471464351"/>
      <w:r>
        <w:t>When the UE builds multiple TBs per TTI (DC, CA and MIMO) spectral efficiency and efficient receiver side processing must be ensured.</w:t>
      </w:r>
      <w:bookmarkEnd w:id="54"/>
      <w:bookmarkEnd w:id="55"/>
      <w:bookmarkEnd w:id="56"/>
      <w:bookmarkEnd w:id="57"/>
      <w:bookmarkEnd w:id="58"/>
      <w:bookmarkEnd w:id="59"/>
    </w:p>
    <w:p w14:paraId="740201E4" w14:textId="3BAA0BAF" w:rsidR="00FF4B21" w:rsidRDefault="00FF4B21" w:rsidP="00952808">
      <w:r>
        <w:t xml:space="preserve">Since a receiver must be dimensioned for the worst allowed transmitter behaviour the allowed transmitter behaviour must be specified properly. Therefore, </w:t>
      </w:r>
      <w:r w:rsidR="00A279E6">
        <w:t>we propose the following</w:t>
      </w:r>
      <w:r>
        <w:t>:</w:t>
      </w:r>
    </w:p>
    <w:p w14:paraId="3BEE1519" w14:textId="5C368BBB" w:rsidR="004A2049" w:rsidRDefault="00FF4B21" w:rsidP="004A2049">
      <w:pPr>
        <w:pStyle w:val="Proposal"/>
      </w:pPr>
      <w:bookmarkStart w:id="60" w:name="_Ref470031889"/>
      <w:bookmarkStart w:id="61" w:name="_Toc470032075"/>
      <w:bookmarkStart w:id="62" w:name="_Toc470034008"/>
      <w:bookmarkStart w:id="63" w:name="_Toc471463022"/>
      <w:bookmarkStart w:id="64" w:name="_Toc471464359"/>
      <w:bookmarkStart w:id="65" w:name="_Toc470002690"/>
      <w:r>
        <w:t xml:space="preserve">Within one transport block the </w:t>
      </w:r>
      <w:r w:rsidR="004A2049">
        <w:t xml:space="preserve">RLC </w:t>
      </w:r>
      <w:r>
        <w:t xml:space="preserve">data PDUs of one logical channel shall be </w:t>
      </w:r>
      <w:r w:rsidR="001278B3">
        <w:t xml:space="preserve">in continuously increasing </w:t>
      </w:r>
      <w:r>
        <w:t>sequence number order (except for RLC retransmissions)</w:t>
      </w:r>
      <w:r w:rsidR="004A2049">
        <w:t>.</w:t>
      </w:r>
      <w:bookmarkEnd w:id="60"/>
      <w:bookmarkEnd w:id="61"/>
      <w:bookmarkEnd w:id="62"/>
      <w:bookmarkEnd w:id="63"/>
      <w:bookmarkEnd w:id="64"/>
    </w:p>
    <w:bookmarkEnd w:id="65"/>
    <w:p w14:paraId="513EF4D2" w14:textId="607D1B96" w:rsidR="00606D9A" w:rsidRDefault="00F53AC3" w:rsidP="006E062C">
      <w:r>
        <w:fldChar w:fldCharType="begin"/>
      </w:r>
      <w:r>
        <w:instrText xml:space="preserve"> REF _Ref470031966 \h </w:instrText>
      </w:r>
      <w:r>
        <w:fldChar w:fldCharType="separate"/>
      </w:r>
      <w:r w:rsidR="001278B3">
        <w:t xml:space="preserve">Figure </w:t>
      </w:r>
      <w:r w:rsidR="001278B3">
        <w:rPr>
          <w:noProof/>
        </w:rPr>
        <w:t>2</w:t>
      </w:r>
      <w:r>
        <w:fldChar w:fldCharType="end"/>
      </w:r>
      <w:r>
        <w:t xml:space="preserve"> </w:t>
      </w:r>
      <w:r w:rsidR="00606D9A">
        <w:t xml:space="preserve">illustrates the </w:t>
      </w:r>
      <w:r w:rsidR="00C7420E">
        <w:t xml:space="preserve">behaviour in accordance with </w:t>
      </w:r>
      <w:r w:rsidR="00C7420E">
        <w:fldChar w:fldCharType="begin"/>
      </w:r>
      <w:r w:rsidR="00C7420E">
        <w:instrText xml:space="preserve"> REF _Ref470031888 \r \h </w:instrText>
      </w:r>
      <w:r w:rsidR="00C7420E">
        <w:fldChar w:fldCharType="separate"/>
      </w:r>
      <w:r w:rsidR="001278B3">
        <w:t>Proposal 7</w:t>
      </w:r>
      <w:r w:rsidR="00C7420E">
        <w:fldChar w:fldCharType="end"/>
      </w:r>
      <w:r w:rsidR="00C7420E">
        <w:t xml:space="preserve"> and </w:t>
      </w:r>
      <w:r w:rsidR="00C7420E">
        <w:fldChar w:fldCharType="begin"/>
      </w:r>
      <w:r w:rsidR="00C7420E">
        <w:instrText xml:space="preserve"> REF _Ref470031889 \r \h </w:instrText>
      </w:r>
      <w:r w:rsidR="00C7420E">
        <w:fldChar w:fldCharType="separate"/>
      </w:r>
      <w:r w:rsidR="001278B3">
        <w:t>Proposal 8</w:t>
      </w:r>
      <w:r w:rsidR="00C7420E">
        <w:fldChar w:fldCharType="end"/>
      </w:r>
      <w:r w:rsidR="00492710">
        <w:t xml:space="preserve">. </w:t>
      </w:r>
      <w:r w:rsidR="00133467">
        <w:t xml:space="preserve">It is highlighted in green, which blocks of pre-processed PDUs </w:t>
      </w:r>
      <w:r w:rsidR="001278B3">
        <w:t xml:space="preserve">are sent </w:t>
      </w:r>
      <w:r w:rsidR="00C7420E">
        <w:t>unmodified</w:t>
      </w:r>
      <w:r w:rsidR="00133467">
        <w:t>, and highlighted in red, which headers needed to be updated on the fly.</w:t>
      </w:r>
    </w:p>
    <w:p w14:paraId="262A6E03" w14:textId="3CF00618" w:rsidR="00CB49E8" w:rsidRDefault="00CB49E8" w:rsidP="00CB49E8">
      <w:pPr>
        <w:pStyle w:val="Heading2"/>
      </w:pPr>
      <w:r>
        <w:t>Placement of MAC Control Elements</w:t>
      </w:r>
    </w:p>
    <w:p w14:paraId="28896F2A" w14:textId="55C9791F" w:rsidR="00606D9A" w:rsidRDefault="00CB49E8" w:rsidP="006E062C">
      <w:r>
        <w:t xml:space="preserve">RAN2-96 </w:t>
      </w:r>
      <w:r w:rsidR="009A6C96">
        <w:t xml:space="preserve">discussed briefly the order of MAC control elements within the transport block. Many companies pointed out that it would be desirable to place in particular the BSR and the PHR the at the beginning of the MAC PDU so that the receiver can feed this information quickly towards the uplink scheduler. </w:t>
      </w:r>
      <w:r w:rsidR="00456B77">
        <w:t xml:space="preserve">It was discussed that this could be too demanding for the UE to compute in the short time available prior to the beginning of the UL data symbols. However, since the UE should anyway determine which (segments of which) RLC PDUs to transmit in which MAC PDU (see </w:t>
      </w:r>
      <w:r w:rsidR="00456B77">
        <w:fldChar w:fldCharType="begin"/>
      </w:r>
      <w:r w:rsidR="00456B77">
        <w:instrText xml:space="preserve"> REF _Ref470031888 \n \h </w:instrText>
      </w:r>
      <w:r w:rsidR="00456B77">
        <w:fldChar w:fldCharType="separate"/>
      </w:r>
      <w:r w:rsidR="001278B3">
        <w:t>Proposal 7</w:t>
      </w:r>
      <w:r w:rsidR="00456B77">
        <w:fldChar w:fldCharType="end"/>
      </w:r>
      <w:r w:rsidR="00456B77">
        <w:t xml:space="preserve"> and </w:t>
      </w:r>
      <w:r w:rsidR="00456B77">
        <w:fldChar w:fldCharType="begin"/>
      </w:r>
      <w:r w:rsidR="00456B77">
        <w:instrText xml:space="preserve"> REF _Ref470031889 \n \h </w:instrText>
      </w:r>
      <w:r w:rsidR="00456B77">
        <w:fldChar w:fldCharType="separate"/>
      </w:r>
      <w:r w:rsidR="001278B3">
        <w:t>Proposal 8</w:t>
      </w:r>
      <w:r w:rsidR="00456B77">
        <w:fldChar w:fldCharType="end"/>
      </w:r>
      <w:r w:rsidR="00456B77">
        <w:t xml:space="preserve">), it also knows the number of data bytes that will be left after completing the current subframe. Hence, the BSR could also be included in the front of the MAC PDU. Similarly, the UL TX power must be computed prior to the UL transmission. Hence, also the power headroom should be known beforehand. </w:t>
      </w:r>
    </w:p>
    <w:p w14:paraId="077D8C59" w14:textId="1935E828" w:rsidR="00456B77" w:rsidRPr="00456B77" w:rsidRDefault="00456B77" w:rsidP="0097745C">
      <w:pPr>
        <w:pStyle w:val="Proposal"/>
      </w:pPr>
      <w:bookmarkStart w:id="66" w:name="_Toc470034010"/>
      <w:bookmarkStart w:id="67" w:name="_Toc471463024"/>
      <w:bookmarkStart w:id="68" w:name="_Toc471464360"/>
      <w:r>
        <w:t xml:space="preserve">The UE shall include the BSR and the PHR MAC CEs in the beginning of the PDU, i.e., prior to the </w:t>
      </w:r>
      <w:r w:rsidR="0028722D">
        <w:t>MAC SDUs</w:t>
      </w:r>
      <w:r>
        <w:t>.</w:t>
      </w:r>
      <w:bookmarkEnd w:id="66"/>
      <w:bookmarkEnd w:id="67"/>
      <w:bookmarkEnd w:id="68"/>
      <w:r>
        <w:t xml:space="preserve"> </w:t>
      </w:r>
    </w:p>
    <w:p w14:paraId="7E690B51" w14:textId="77777777" w:rsidR="00C01F33" w:rsidRPr="00CE0424" w:rsidRDefault="00C01F33" w:rsidP="00CE0424">
      <w:pPr>
        <w:pStyle w:val="Heading1"/>
      </w:pPr>
      <w:r w:rsidRPr="00CE0424">
        <w:t>Conclusion</w:t>
      </w:r>
    </w:p>
    <w:p w14:paraId="5D09E2D7" w14:textId="6DD5AC8F" w:rsidR="007E6443" w:rsidRDefault="008E065E" w:rsidP="007E6443">
      <w:pPr>
        <w:pStyle w:val="BodyText"/>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278B3">
        <w:t>2</w:t>
      </w:r>
      <w:r w:rsidRPr="00CE0424">
        <w:rPr>
          <w:highlight w:val="cyan"/>
        </w:rPr>
        <w:fldChar w:fldCharType="end"/>
      </w:r>
      <w:r w:rsidRPr="00CE0424">
        <w:t xml:space="preserve"> we </w:t>
      </w:r>
      <w:r>
        <w:t>made the following observations</w:t>
      </w:r>
      <w:r w:rsidRPr="00CE0424">
        <w:t>:</w:t>
      </w:r>
      <w:r w:rsidR="007E6443" w:rsidDel="007E6443">
        <w:rPr>
          <w:b/>
          <w:bCs/>
        </w:rPr>
        <w:t xml:space="preserve"> </w:t>
      </w:r>
    </w:p>
    <w:p w14:paraId="69BF0C0C" w14:textId="77777777" w:rsidR="001278B3" w:rsidRPr="001278B3" w:rsidRDefault="00F53AC3">
      <w:pPr>
        <w:pStyle w:val="TOC1"/>
        <w:rPr>
          <w:rFonts w:asciiTheme="minorHAnsi" w:eastAsiaTheme="minorEastAsia" w:hAnsiTheme="minorHAnsi" w:cstheme="minorBidi"/>
          <w:b w:val="0"/>
          <w:sz w:val="22"/>
          <w:lang w:val="en-GB" w:eastAsia="de-DE"/>
        </w:rPr>
      </w:pPr>
      <w:r>
        <w:rPr>
          <w:b w:val="0"/>
          <w:bCs/>
        </w:rPr>
        <w:lastRenderedPageBreak/>
        <w:fldChar w:fldCharType="begin"/>
      </w:r>
      <w:r>
        <w:rPr>
          <w:b w:val="0"/>
          <w:bCs/>
        </w:rPr>
        <w:instrText xml:space="preserve"> TOC \f \n \t "Observation;1" </w:instrText>
      </w:r>
      <w:r>
        <w:rPr>
          <w:b w:val="0"/>
          <w:bCs/>
        </w:rPr>
        <w:fldChar w:fldCharType="separate"/>
      </w:r>
      <w:r w:rsidR="001278B3">
        <w:t>Observation 1</w:t>
      </w:r>
      <w:r w:rsidR="001278B3" w:rsidRPr="001278B3">
        <w:rPr>
          <w:rFonts w:asciiTheme="minorHAnsi" w:eastAsiaTheme="minorEastAsia" w:hAnsiTheme="minorHAnsi" w:cstheme="minorBidi"/>
          <w:b w:val="0"/>
          <w:sz w:val="22"/>
          <w:lang w:val="en-GB" w:eastAsia="de-DE"/>
        </w:rPr>
        <w:tab/>
      </w:r>
      <w:r w:rsidR="001278B3">
        <w:t>An RLC transmitter entity does not necessarily obtain a PDCP PDUs with continuously increasing sequence numbers (e.g. DC, PDCP drops/losses).</w:t>
      </w:r>
    </w:p>
    <w:p w14:paraId="613E1F45" w14:textId="77777777" w:rsidR="001278B3" w:rsidRPr="001278B3" w:rsidRDefault="001278B3">
      <w:pPr>
        <w:pStyle w:val="TOC1"/>
        <w:rPr>
          <w:rFonts w:asciiTheme="minorHAnsi" w:eastAsiaTheme="minorEastAsia" w:hAnsiTheme="minorHAnsi" w:cstheme="minorBidi"/>
          <w:b w:val="0"/>
          <w:sz w:val="22"/>
          <w:lang w:val="en-GB" w:eastAsia="de-DE"/>
        </w:rPr>
      </w:pPr>
      <w:r>
        <w:t>Observation 2</w:t>
      </w:r>
      <w:r w:rsidRPr="001278B3">
        <w:rPr>
          <w:rFonts w:asciiTheme="minorHAnsi" w:eastAsiaTheme="minorEastAsia" w:hAnsiTheme="minorHAnsi" w:cstheme="minorBidi"/>
          <w:b w:val="0"/>
          <w:sz w:val="22"/>
          <w:lang w:val="en-GB" w:eastAsia="de-DE"/>
        </w:rPr>
        <w:tab/>
      </w:r>
      <w:r>
        <w:t>PDCP control PDUs do intentionally not carry a PDCP SNs but they require a sequence number on RLC level for ARQ and segmentation/reassembly.</w:t>
      </w:r>
    </w:p>
    <w:p w14:paraId="27427E06" w14:textId="77777777" w:rsidR="001278B3" w:rsidRPr="001278B3" w:rsidRDefault="001278B3">
      <w:pPr>
        <w:pStyle w:val="TOC1"/>
        <w:rPr>
          <w:rFonts w:asciiTheme="minorHAnsi" w:eastAsiaTheme="minorEastAsia" w:hAnsiTheme="minorHAnsi" w:cstheme="minorBidi"/>
          <w:b w:val="0"/>
          <w:sz w:val="22"/>
          <w:lang w:val="en-GB" w:eastAsia="de-DE"/>
        </w:rPr>
      </w:pPr>
      <w:r>
        <w:t>Observation 3</w:t>
      </w:r>
      <w:r w:rsidRPr="001278B3">
        <w:rPr>
          <w:rFonts w:asciiTheme="minorHAnsi" w:eastAsiaTheme="minorEastAsia" w:hAnsiTheme="minorHAnsi" w:cstheme="minorBidi"/>
          <w:b w:val="0"/>
          <w:sz w:val="22"/>
          <w:lang w:val="en-GB" w:eastAsia="de-DE"/>
        </w:rPr>
        <w:tab/>
      </w:r>
      <w:r>
        <w:t>When the UE builds multiple TBs per TTI (DC, CA and MIMO) spectral efficiency and efficient receiver side processing must be ensured.</w:t>
      </w:r>
    </w:p>
    <w:p w14:paraId="1FEBE2EA" w14:textId="61CDAD45" w:rsidR="007E6443" w:rsidRDefault="00F53AC3" w:rsidP="007E6443">
      <w:pPr>
        <w:pStyle w:val="BodyText"/>
        <w:rPr>
          <w:b/>
          <w:bCs/>
        </w:rPr>
      </w:pPr>
      <w:r>
        <w:rPr>
          <w:b/>
          <w:bCs/>
        </w:rPr>
        <w:fldChar w:fldCharType="end"/>
      </w:r>
      <w:r w:rsidR="008E065E" w:rsidRPr="00CE0424">
        <w:t xml:space="preserve">Based on the discussion 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1278B3">
        <w:t>2</w:t>
      </w:r>
      <w:r w:rsidR="008E065E" w:rsidRPr="00CE0424">
        <w:rPr>
          <w:highlight w:val="cyan"/>
        </w:rPr>
        <w:fldChar w:fldCharType="end"/>
      </w:r>
      <w:r w:rsidR="008E065E" w:rsidRPr="00CE0424">
        <w:t xml:space="preserve"> we propose the following:</w:t>
      </w:r>
      <w:r w:rsidR="007E6443" w:rsidDel="007E6443">
        <w:rPr>
          <w:b/>
          <w:bCs/>
        </w:rPr>
        <w:t xml:space="preserve"> </w:t>
      </w:r>
    </w:p>
    <w:p w14:paraId="791420D4" w14:textId="77777777" w:rsidR="001278B3" w:rsidRPr="001278B3" w:rsidRDefault="00F53AC3">
      <w:pPr>
        <w:pStyle w:val="TOC1"/>
        <w:rPr>
          <w:rFonts w:asciiTheme="minorHAnsi" w:eastAsiaTheme="minorEastAsia" w:hAnsiTheme="minorHAnsi" w:cstheme="minorBidi"/>
          <w:b w:val="0"/>
          <w:sz w:val="22"/>
          <w:lang w:val="en-GB" w:eastAsia="de-DE"/>
        </w:rPr>
      </w:pPr>
      <w:r>
        <w:rPr>
          <w:b w:val="0"/>
          <w:bCs/>
        </w:rPr>
        <w:fldChar w:fldCharType="begin"/>
      </w:r>
      <w:r>
        <w:rPr>
          <w:b w:val="0"/>
          <w:bCs/>
        </w:rPr>
        <w:instrText xml:space="preserve"> TOC \f \n \p " " \t "Proposal;1" </w:instrText>
      </w:r>
      <w:r>
        <w:rPr>
          <w:b w:val="0"/>
          <w:bCs/>
        </w:rPr>
        <w:fldChar w:fldCharType="separate"/>
      </w:r>
      <w:r w:rsidR="001278B3">
        <w:t>Proposal 1</w:t>
      </w:r>
      <w:r w:rsidR="001278B3" w:rsidRPr="001278B3">
        <w:rPr>
          <w:rFonts w:asciiTheme="minorHAnsi" w:eastAsiaTheme="minorEastAsia" w:hAnsiTheme="minorHAnsi" w:cstheme="minorBidi"/>
          <w:b w:val="0"/>
          <w:sz w:val="22"/>
          <w:lang w:val="en-GB" w:eastAsia="de-DE"/>
        </w:rPr>
        <w:tab/>
      </w:r>
      <w:r w:rsidR="001278B3">
        <w:t>RLC and PDCP operate with separate and independent sequence numbers.</w:t>
      </w:r>
    </w:p>
    <w:p w14:paraId="143C4C32" w14:textId="77777777" w:rsidR="001278B3" w:rsidRPr="001278B3" w:rsidRDefault="001278B3">
      <w:pPr>
        <w:pStyle w:val="TOC1"/>
        <w:rPr>
          <w:rFonts w:asciiTheme="minorHAnsi" w:eastAsiaTheme="minorEastAsia" w:hAnsiTheme="minorHAnsi" w:cstheme="minorBidi"/>
          <w:b w:val="0"/>
          <w:sz w:val="22"/>
          <w:lang w:val="en-GB" w:eastAsia="de-DE"/>
        </w:rPr>
      </w:pPr>
      <w:r>
        <w:t>Proposal 2</w:t>
      </w:r>
      <w:r w:rsidRPr="001278B3">
        <w:rPr>
          <w:rFonts w:asciiTheme="minorHAnsi" w:eastAsiaTheme="minorEastAsia" w:hAnsiTheme="minorHAnsi" w:cstheme="minorBidi"/>
          <w:b w:val="0"/>
          <w:sz w:val="22"/>
          <w:lang w:val="en-GB" w:eastAsia="de-DE"/>
        </w:rPr>
        <w:tab/>
      </w:r>
      <w:r>
        <w:t>As baseline, RLC and PDCP should support the same sequence number space (e.g. 18 bit).</w:t>
      </w:r>
    </w:p>
    <w:p w14:paraId="6843D249" w14:textId="77777777" w:rsidR="001278B3" w:rsidRPr="001278B3" w:rsidRDefault="001278B3">
      <w:pPr>
        <w:pStyle w:val="TOC1"/>
        <w:rPr>
          <w:rFonts w:asciiTheme="minorHAnsi" w:eastAsiaTheme="minorEastAsia" w:hAnsiTheme="minorHAnsi" w:cstheme="minorBidi"/>
          <w:b w:val="0"/>
          <w:sz w:val="22"/>
          <w:lang w:val="en-GB" w:eastAsia="de-DE"/>
        </w:rPr>
      </w:pPr>
      <w:r>
        <w:t>Proposal 3</w:t>
      </w:r>
      <w:r w:rsidRPr="001278B3">
        <w:rPr>
          <w:rFonts w:asciiTheme="minorHAnsi" w:eastAsiaTheme="minorEastAsia" w:hAnsiTheme="minorHAnsi" w:cstheme="minorBidi"/>
          <w:b w:val="0"/>
          <w:sz w:val="22"/>
          <w:lang w:val="en-GB" w:eastAsia="de-DE"/>
        </w:rPr>
        <w:tab/>
      </w:r>
      <w:r>
        <w:t>Confirm that MAC sub-headers are interleaved with RLC PDUs.</w:t>
      </w:r>
    </w:p>
    <w:p w14:paraId="0CE7163C" w14:textId="77777777" w:rsidR="001278B3" w:rsidRPr="001278B3" w:rsidRDefault="001278B3">
      <w:pPr>
        <w:pStyle w:val="TOC1"/>
        <w:rPr>
          <w:rFonts w:asciiTheme="minorHAnsi" w:eastAsiaTheme="minorEastAsia" w:hAnsiTheme="minorHAnsi" w:cstheme="minorBidi"/>
          <w:b w:val="0"/>
          <w:sz w:val="22"/>
          <w:lang w:val="en-GB" w:eastAsia="de-DE"/>
        </w:rPr>
      </w:pPr>
      <w:r>
        <w:t>Proposal 4</w:t>
      </w:r>
      <w:r w:rsidRPr="001278B3">
        <w:rPr>
          <w:rFonts w:asciiTheme="minorHAnsi" w:eastAsiaTheme="minorEastAsia" w:hAnsiTheme="minorHAnsi" w:cstheme="minorBidi"/>
          <w:b w:val="0"/>
          <w:sz w:val="22"/>
          <w:lang w:val="en-GB" w:eastAsia="de-DE"/>
        </w:rPr>
        <w:tab/>
      </w:r>
      <w:r>
        <w:t>The header of the RLC AMD PDU indicates with one bit whether the last octet of the RLC PDU payload is also the last octet of the RLC SDU.</w:t>
      </w:r>
    </w:p>
    <w:p w14:paraId="184CBBDD" w14:textId="77777777" w:rsidR="001278B3" w:rsidRPr="001278B3" w:rsidRDefault="001278B3">
      <w:pPr>
        <w:pStyle w:val="TOC1"/>
        <w:rPr>
          <w:rFonts w:asciiTheme="minorHAnsi" w:eastAsiaTheme="minorEastAsia" w:hAnsiTheme="minorHAnsi" w:cstheme="minorBidi"/>
          <w:b w:val="0"/>
          <w:sz w:val="22"/>
          <w:lang w:val="en-GB" w:eastAsia="de-DE"/>
        </w:rPr>
      </w:pPr>
      <w:r>
        <w:t>Proposal 5</w:t>
      </w:r>
      <w:r w:rsidRPr="001278B3">
        <w:rPr>
          <w:rFonts w:asciiTheme="minorHAnsi" w:eastAsiaTheme="minorEastAsia" w:hAnsiTheme="minorHAnsi" w:cstheme="minorBidi"/>
          <w:b w:val="0"/>
          <w:sz w:val="22"/>
          <w:lang w:val="en-GB" w:eastAsia="de-DE"/>
        </w:rPr>
        <w:tab/>
      </w:r>
      <w:r>
        <w:t>The header of the RLC AMD PDU indicates with one bit whether the first octet of the RLC PDU payload is also the first octet of the RLC SDU.</w:t>
      </w:r>
    </w:p>
    <w:p w14:paraId="52CFCC60" w14:textId="77777777" w:rsidR="001278B3" w:rsidRPr="001278B3" w:rsidRDefault="001278B3">
      <w:pPr>
        <w:pStyle w:val="TOC1"/>
        <w:rPr>
          <w:rFonts w:asciiTheme="minorHAnsi" w:eastAsiaTheme="minorEastAsia" w:hAnsiTheme="minorHAnsi" w:cstheme="minorBidi"/>
          <w:b w:val="0"/>
          <w:sz w:val="22"/>
          <w:lang w:val="en-GB" w:eastAsia="de-DE"/>
        </w:rPr>
      </w:pPr>
      <w:r>
        <w:t>Proposal 6</w:t>
      </w:r>
      <w:r w:rsidRPr="001278B3">
        <w:rPr>
          <w:rFonts w:asciiTheme="minorHAnsi" w:eastAsiaTheme="minorEastAsia" w:hAnsiTheme="minorHAnsi" w:cstheme="minorBidi"/>
          <w:b w:val="0"/>
          <w:sz w:val="22"/>
          <w:lang w:val="en-GB" w:eastAsia="de-DE"/>
        </w:rPr>
        <w:tab/>
      </w:r>
      <w:r>
        <w:t>If the above-mentioned header field indicates that the first octet of the RLC PDU is not the first octet of the RLC SDU the SO field is present in the header.</w:t>
      </w:r>
    </w:p>
    <w:p w14:paraId="08E05678" w14:textId="77777777" w:rsidR="001278B3" w:rsidRPr="001278B3" w:rsidRDefault="001278B3">
      <w:pPr>
        <w:pStyle w:val="TOC1"/>
        <w:rPr>
          <w:rFonts w:asciiTheme="minorHAnsi" w:eastAsiaTheme="minorEastAsia" w:hAnsiTheme="minorHAnsi" w:cstheme="minorBidi"/>
          <w:b w:val="0"/>
          <w:sz w:val="22"/>
          <w:lang w:val="en-GB" w:eastAsia="de-DE"/>
        </w:rPr>
      </w:pPr>
      <w:r>
        <w:t>Proposal 7</w:t>
      </w:r>
      <w:r w:rsidRPr="001278B3">
        <w:rPr>
          <w:rFonts w:asciiTheme="minorHAnsi" w:eastAsiaTheme="minorEastAsia" w:hAnsiTheme="minorHAnsi" w:cstheme="minorBidi"/>
          <w:b w:val="0"/>
          <w:sz w:val="22"/>
          <w:lang w:val="en-GB" w:eastAsia="de-DE"/>
        </w:rPr>
        <w:tab/>
      </w:r>
      <w:r>
        <w:t>The UE shall transmit the remainder of segmented RLC PDU in another transport block of the same subframe if such is available for the UE.</w:t>
      </w:r>
    </w:p>
    <w:p w14:paraId="2161FA09" w14:textId="77777777" w:rsidR="001278B3" w:rsidRPr="001278B3" w:rsidRDefault="001278B3">
      <w:pPr>
        <w:pStyle w:val="TOC1"/>
        <w:rPr>
          <w:rFonts w:asciiTheme="minorHAnsi" w:eastAsiaTheme="minorEastAsia" w:hAnsiTheme="minorHAnsi" w:cstheme="minorBidi"/>
          <w:b w:val="0"/>
          <w:sz w:val="22"/>
          <w:lang w:val="en-GB" w:eastAsia="de-DE"/>
        </w:rPr>
      </w:pPr>
      <w:r>
        <w:t>Proposal 8</w:t>
      </w:r>
      <w:r w:rsidRPr="001278B3">
        <w:rPr>
          <w:rFonts w:asciiTheme="minorHAnsi" w:eastAsiaTheme="minorEastAsia" w:hAnsiTheme="minorHAnsi" w:cstheme="minorBidi"/>
          <w:b w:val="0"/>
          <w:sz w:val="22"/>
          <w:lang w:val="en-GB" w:eastAsia="de-DE"/>
        </w:rPr>
        <w:tab/>
      </w:r>
      <w:r>
        <w:t>Within one transport block the RLC data PDUs of one logical channel shall be in continuously increasing sequence number order (except for RLC retransmissions).</w:t>
      </w:r>
    </w:p>
    <w:p w14:paraId="46C1E6D6" w14:textId="77777777" w:rsidR="001278B3" w:rsidRPr="001278B3" w:rsidRDefault="001278B3">
      <w:pPr>
        <w:pStyle w:val="TOC1"/>
        <w:rPr>
          <w:rFonts w:asciiTheme="minorHAnsi" w:eastAsiaTheme="minorEastAsia" w:hAnsiTheme="minorHAnsi" w:cstheme="minorBidi"/>
          <w:b w:val="0"/>
          <w:sz w:val="22"/>
          <w:lang w:val="en-GB" w:eastAsia="de-DE"/>
        </w:rPr>
      </w:pPr>
      <w:r>
        <w:t>Proposal 9</w:t>
      </w:r>
      <w:r w:rsidRPr="001278B3">
        <w:rPr>
          <w:rFonts w:asciiTheme="minorHAnsi" w:eastAsiaTheme="minorEastAsia" w:hAnsiTheme="minorHAnsi" w:cstheme="minorBidi"/>
          <w:b w:val="0"/>
          <w:sz w:val="22"/>
          <w:lang w:val="en-GB" w:eastAsia="de-DE"/>
        </w:rPr>
        <w:tab/>
      </w:r>
      <w:r>
        <w:t>The UE shall include the BSR and the PHR MAC CEs in the beginning of the PDU, i.e., prior to the MAC SDUs.</w:t>
      </w:r>
    </w:p>
    <w:p w14:paraId="7A28FE08" w14:textId="1CA1750C" w:rsidR="00F53AC3" w:rsidRPr="00CE0424" w:rsidRDefault="00F53AC3" w:rsidP="00F53AC3">
      <w:pPr>
        <w:rPr>
          <w:b/>
          <w:bCs/>
        </w:rPr>
      </w:pPr>
      <w:r>
        <w:rPr>
          <w:b/>
          <w:bCs/>
        </w:rPr>
        <w:fldChar w:fldCharType="end"/>
      </w:r>
    </w:p>
    <w:p w14:paraId="7AA6E6A4" w14:textId="59842654" w:rsidR="003A7EF3" w:rsidRDefault="003A7EF3" w:rsidP="00CE0424">
      <w:pPr>
        <w:pStyle w:val="BodyText"/>
      </w:pPr>
      <w:bookmarkStart w:id="69" w:name="_In-sequence_SDU_delivery"/>
      <w:bookmarkEnd w:id="69"/>
    </w:p>
    <w:p w14:paraId="114F3C78" w14:textId="77777777" w:rsidR="006D5EDD" w:rsidRPr="00CE0424" w:rsidRDefault="006D5EDD" w:rsidP="00CE0424">
      <w:pPr>
        <w:pStyle w:val="BodyText"/>
      </w:pPr>
    </w:p>
    <w:sectPr w:rsidR="006D5EDD"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E06E3" w14:textId="77777777" w:rsidR="00365410" w:rsidRDefault="00365410">
      <w:r>
        <w:separator/>
      </w:r>
    </w:p>
  </w:endnote>
  <w:endnote w:type="continuationSeparator" w:id="0">
    <w:p w14:paraId="0EBD2FEA" w14:textId="77777777" w:rsidR="00365410" w:rsidRDefault="00365410">
      <w:r>
        <w:continuationSeparator/>
      </w:r>
    </w:p>
  </w:endnote>
  <w:endnote w:type="continuationNotice" w:id="1">
    <w:p w14:paraId="63698F39" w14:textId="77777777" w:rsidR="00365410" w:rsidRDefault="003654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Ericsson Capital TT">
    <w:charset w:val="00"/>
    <w:family w:val="auto"/>
    <w:pitch w:val="variable"/>
    <w:sig w:usb0="8000002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6BDE5" w14:textId="619A72CC" w:rsidR="00104193" w:rsidRDefault="001041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364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364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DD18B" w14:textId="77777777" w:rsidR="00365410" w:rsidRDefault="00365410">
      <w:r>
        <w:separator/>
      </w:r>
    </w:p>
  </w:footnote>
  <w:footnote w:type="continuationSeparator" w:id="0">
    <w:p w14:paraId="77F858CE" w14:textId="77777777" w:rsidR="00365410" w:rsidRDefault="00365410">
      <w:r>
        <w:continuationSeparator/>
      </w:r>
    </w:p>
  </w:footnote>
  <w:footnote w:type="continuationNotice" w:id="1">
    <w:p w14:paraId="2F9D515A" w14:textId="77777777" w:rsidR="00365410" w:rsidRDefault="00365410">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BC02D" w14:textId="77777777" w:rsidR="00104193" w:rsidRDefault="0010419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3A6E2F2"/>
    <w:lvl w:ilvl="0">
      <w:start w:val="1"/>
      <w:numFmt w:val="decimal"/>
      <w:lvlText w:val="%1."/>
      <w:lvlJc w:val="left"/>
      <w:pPr>
        <w:tabs>
          <w:tab w:val="num" w:pos="1492"/>
        </w:tabs>
        <w:ind w:left="1492" w:hanging="360"/>
      </w:pPr>
    </w:lvl>
  </w:abstractNum>
  <w:abstractNum w:abstractNumId="1">
    <w:nsid w:val="FFFFFF7D"/>
    <w:multiLevelType w:val="singleLevel"/>
    <w:tmpl w:val="D8A24E82"/>
    <w:lvl w:ilvl="0">
      <w:start w:val="1"/>
      <w:numFmt w:val="decimal"/>
      <w:lvlText w:val="%1."/>
      <w:lvlJc w:val="left"/>
      <w:pPr>
        <w:tabs>
          <w:tab w:val="num" w:pos="1209"/>
        </w:tabs>
        <w:ind w:left="1209" w:hanging="360"/>
      </w:pPr>
    </w:lvl>
  </w:abstractNum>
  <w:abstractNum w:abstractNumId="2">
    <w:nsid w:val="FFFFFF7E"/>
    <w:multiLevelType w:val="singleLevel"/>
    <w:tmpl w:val="2554766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4AA2827"/>
    <w:multiLevelType w:val="hybridMultilevel"/>
    <w:tmpl w:val="30B286A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Times New Roman"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Times New Roman"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Times New Roman" w:hint="default"/>
      </w:rPr>
    </w:lvl>
    <w:lvl w:ilvl="8" w:tplc="0C090005">
      <w:start w:val="1"/>
      <w:numFmt w:val="bullet"/>
      <w:lvlText w:val=""/>
      <w:lvlJc w:val="left"/>
      <w:pPr>
        <w:ind w:left="6480" w:hanging="360"/>
      </w:pPr>
      <w:rPr>
        <w:rFonts w:ascii="Wingdings" w:hAnsi="Wingdings" w:hint="default"/>
      </w:rPr>
    </w:lvl>
  </w:abstractNum>
  <w:abstractNum w:abstractNumId="5">
    <w:nsid w:val="0D3021ED"/>
    <w:multiLevelType w:val="hybridMultilevel"/>
    <w:tmpl w:val="1D1E4944"/>
    <w:lvl w:ilvl="0" w:tplc="E2D6D3F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827343"/>
    <w:multiLevelType w:val="hybridMultilevel"/>
    <w:tmpl w:val="F7C8396A"/>
    <w:lvl w:ilvl="0" w:tplc="786658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B5663B"/>
    <w:multiLevelType w:val="hybridMultilevel"/>
    <w:tmpl w:val="19A634E2"/>
    <w:lvl w:ilvl="0" w:tplc="B504DB98">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A535BF"/>
    <w:multiLevelType w:val="hybridMultilevel"/>
    <w:tmpl w:val="0F162BEE"/>
    <w:lvl w:ilvl="0" w:tplc="47C81D0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BED2D42"/>
    <w:multiLevelType w:val="hybridMultilevel"/>
    <w:tmpl w:val="18C49838"/>
    <w:lvl w:ilvl="0" w:tplc="55669F0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8074D3A"/>
    <w:multiLevelType w:val="hybridMultilevel"/>
    <w:tmpl w:val="F9723FC8"/>
    <w:lvl w:ilvl="0" w:tplc="46208A46">
      <w:start w:val="1"/>
      <w:numFmt w:val="bullet"/>
      <w:lvlText w:val="›"/>
      <w:lvlJc w:val="left"/>
      <w:pPr>
        <w:tabs>
          <w:tab w:val="num" w:pos="720"/>
        </w:tabs>
        <w:ind w:left="720" w:hanging="360"/>
      </w:pPr>
      <w:rPr>
        <w:rFonts w:ascii="Arial" w:hAnsi="Arial" w:hint="default"/>
      </w:rPr>
    </w:lvl>
    <w:lvl w:ilvl="1" w:tplc="2F369D32">
      <w:numFmt w:val="bullet"/>
      <w:lvlText w:val="–"/>
      <w:lvlJc w:val="left"/>
      <w:pPr>
        <w:tabs>
          <w:tab w:val="num" w:pos="1440"/>
        </w:tabs>
        <w:ind w:left="1440" w:hanging="360"/>
      </w:pPr>
      <w:rPr>
        <w:rFonts w:ascii="Ericsson Capital TT" w:hAnsi="Ericsson Capital TT" w:hint="default"/>
      </w:rPr>
    </w:lvl>
    <w:lvl w:ilvl="2" w:tplc="FACCF442">
      <w:numFmt w:val="bullet"/>
      <w:lvlText w:val="›"/>
      <w:lvlJc w:val="left"/>
      <w:pPr>
        <w:tabs>
          <w:tab w:val="num" w:pos="2160"/>
        </w:tabs>
        <w:ind w:left="2160" w:hanging="360"/>
      </w:pPr>
      <w:rPr>
        <w:rFonts w:ascii="Ericsson Capital TT" w:hAnsi="Ericsson Capital TT" w:hint="default"/>
      </w:rPr>
    </w:lvl>
    <w:lvl w:ilvl="3" w:tplc="3C82A93A" w:tentative="1">
      <w:start w:val="1"/>
      <w:numFmt w:val="bullet"/>
      <w:lvlText w:val="›"/>
      <w:lvlJc w:val="left"/>
      <w:pPr>
        <w:tabs>
          <w:tab w:val="num" w:pos="2880"/>
        </w:tabs>
        <w:ind w:left="2880" w:hanging="360"/>
      </w:pPr>
      <w:rPr>
        <w:rFonts w:ascii="Arial" w:hAnsi="Arial" w:hint="default"/>
      </w:rPr>
    </w:lvl>
    <w:lvl w:ilvl="4" w:tplc="B33A3546" w:tentative="1">
      <w:start w:val="1"/>
      <w:numFmt w:val="bullet"/>
      <w:lvlText w:val="›"/>
      <w:lvlJc w:val="left"/>
      <w:pPr>
        <w:tabs>
          <w:tab w:val="num" w:pos="3600"/>
        </w:tabs>
        <w:ind w:left="3600" w:hanging="360"/>
      </w:pPr>
      <w:rPr>
        <w:rFonts w:ascii="Arial" w:hAnsi="Arial" w:hint="default"/>
      </w:rPr>
    </w:lvl>
    <w:lvl w:ilvl="5" w:tplc="43DEE85C" w:tentative="1">
      <w:start w:val="1"/>
      <w:numFmt w:val="bullet"/>
      <w:lvlText w:val="›"/>
      <w:lvlJc w:val="left"/>
      <w:pPr>
        <w:tabs>
          <w:tab w:val="num" w:pos="4320"/>
        </w:tabs>
        <w:ind w:left="4320" w:hanging="360"/>
      </w:pPr>
      <w:rPr>
        <w:rFonts w:ascii="Arial" w:hAnsi="Arial" w:hint="default"/>
      </w:rPr>
    </w:lvl>
    <w:lvl w:ilvl="6" w:tplc="93FCC928" w:tentative="1">
      <w:start w:val="1"/>
      <w:numFmt w:val="bullet"/>
      <w:lvlText w:val="›"/>
      <w:lvlJc w:val="left"/>
      <w:pPr>
        <w:tabs>
          <w:tab w:val="num" w:pos="5040"/>
        </w:tabs>
        <w:ind w:left="5040" w:hanging="360"/>
      </w:pPr>
      <w:rPr>
        <w:rFonts w:ascii="Arial" w:hAnsi="Arial" w:hint="default"/>
      </w:rPr>
    </w:lvl>
    <w:lvl w:ilvl="7" w:tplc="8BD036F4" w:tentative="1">
      <w:start w:val="1"/>
      <w:numFmt w:val="bullet"/>
      <w:lvlText w:val="›"/>
      <w:lvlJc w:val="left"/>
      <w:pPr>
        <w:tabs>
          <w:tab w:val="num" w:pos="5760"/>
        </w:tabs>
        <w:ind w:left="5760" w:hanging="360"/>
      </w:pPr>
      <w:rPr>
        <w:rFonts w:ascii="Arial" w:hAnsi="Arial" w:hint="default"/>
      </w:rPr>
    </w:lvl>
    <w:lvl w:ilvl="8" w:tplc="8F16B1D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2"/>
  </w:num>
  <w:num w:numId="4">
    <w:abstractNumId w:val="13"/>
  </w:num>
  <w:num w:numId="5">
    <w:abstractNumId w:val="10"/>
  </w:num>
  <w:num w:numId="6">
    <w:abstractNumId w:val="15"/>
  </w:num>
  <w:num w:numId="7">
    <w:abstractNumId w:val="18"/>
  </w:num>
  <w:num w:numId="8">
    <w:abstractNumId w:val="11"/>
  </w:num>
  <w:num w:numId="9">
    <w:abstractNumId w:val="9"/>
  </w:num>
  <w:num w:numId="10">
    <w:abstractNumId w:val="2"/>
  </w:num>
  <w:num w:numId="11">
    <w:abstractNumId w:val="1"/>
  </w:num>
  <w:num w:numId="12">
    <w:abstractNumId w:val="0"/>
  </w:num>
  <w:num w:numId="13">
    <w:abstractNumId w:val="17"/>
  </w:num>
  <w:num w:numId="14">
    <w:abstractNumId w:val="4"/>
  </w:num>
  <w:num w:numId="15">
    <w:abstractNumId w:val="19"/>
  </w:num>
  <w:num w:numId="16">
    <w:abstractNumId w:val="6"/>
  </w:num>
  <w:num w:numId="17">
    <w:abstractNumId w:val="5"/>
  </w:num>
  <w:num w:numId="18">
    <w:abstractNumId w:val="7"/>
  </w:num>
  <w:num w:numId="19">
    <w:abstractNumId w:val="14"/>
  </w:num>
  <w:num w:numId="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sv-S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0AAE"/>
    <w:rsid w:val="00002A37"/>
    <w:rsid w:val="0000318D"/>
    <w:rsid w:val="0000333E"/>
    <w:rsid w:val="00006446"/>
    <w:rsid w:val="00006896"/>
    <w:rsid w:val="00006B58"/>
    <w:rsid w:val="000079DD"/>
    <w:rsid w:val="00007CDC"/>
    <w:rsid w:val="00007CDE"/>
    <w:rsid w:val="00011B28"/>
    <w:rsid w:val="00015D15"/>
    <w:rsid w:val="0002564D"/>
    <w:rsid w:val="00025ECA"/>
    <w:rsid w:val="00027939"/>
    <w:rsid w:val="000325B8"/>
    <w:rsid w:val="00032CB0"/>
    <w:rsid w:val="00034C15"/>
    <w:rsid w:val="00036BA1"/>
    <w:rsid w:val="00037C7A"/>
    <w:rsid w:val="000422E2"/>
    <w:rsid w:val="00042F22"/>
    <w:rsid w:val="000444EF"/>
    <w:rsid w:val="00044FED"/>
    <w:rsid w:val="00052A07"/>
    <w:rsid w:val="00052FE5"/>
    <w:rsid w:val="000534E3"/>
    <w:rsid w:val="0005606A"/>
    <w:rsid w:val="00057117"/>
    <w:rsid w:val="000616E7"/>
    <w:rsid w:val="0006487E"/>
    <w:rsid w:val="000656C8"/>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504"/>
    <w:rsid w:val="000B2719"/>
    <w:rsid w:val="000B3A8F"/>
    <w:rsid w:val="000B4AB9"/>
    <w:rsid w:val="000B58C3"/>
    <w:rsid w:val="000B61E9"/>
    <w:rsid w:val="000C165A"/>
    <w:rsid w:val="000C2E19"/>
    <w:rsid w:val="000C3EFA"/>
    <w:rsid w:val="000D0D07"/>
    <w:rsid w:val="000D4797"/>
    <w:rsid w:val="000E0527"/>
    <w:rsid w:val="000E1E92"/>
    <w:rsid w:val="000E59D9"/>
    <w:rsid w:val="000F06D6"/>
    <w:rsid w:val="000F0EB1"/>
    <w:rsid w:val="000F1106"/>
    <w:rsid w:val="000F3BE9"/>
    <w:rsid w:val="000F3F6C"/>
    <w:rsid w:val="000F6DF3"/>
    <w:rsid w:val="001005FF"/>
    <w:rsid w:val="00104193"/>
    <w:rsid w:val="001062FB"/>
    <w:rsid w:val="001063E6"/>
    <w:rsid w:val="00113CF4"/>
    <w:rsid w:val="001153EA"/>
    <w:rsid w:val="00115643"/>
    <w:rsid w:val="00116765"/>
    <w:rsid w:val="001219F5"/>
    <w:rsid w:val="00121A20"/>
    <w:rsid w:val="00122952"/>
    <w:rsid w:val="00122F2E"/>
    <w:rsid w:val="0012377F"/>
    <w:rsid w:val="00124314"/>
    <w:rsid w:val="00126B4A"/>
    <w:rsid w:val="001278B3"/>
    <w:rsid w:val="001279DB"/>
    <w:rsid w:val="00132FD0"/>
    <w:rsid w:val="00133467"/>
    <w:rsid w:val="001344C0"/>
    <w:rsid w:val="001346FA"/>
    <w:rsid w:val="00135252"/>
    <w:rsid w:val="00137880"/>
    <w:rsid w:val="00137AB5"/>
    <w:rsid w:val="00137F0B"/>
    <w:rsid w:val="0014532D"/>
    <w:rsid w:val="001516EB"/>
    <w:rsid w:val="00151E23"/>
    <w:rsid w:val="001526E0"/>
    <w:rsid w:val="001551B5"/>
    <w:rsid w:val="001613B5"/>
    <w:rsid w:val="001643A8"/>
    <w:rsid w:val="001659C1"/>
    <w:rsid w:val="00167C2F"/>
    <w:rsid w:val="00173A8E"/>
    <w:rsid w:val="00177795"/>
    <w:rsid w:val="0018143F"/>
    <w:rsid w:val="00190AC1"/>
    <w:rsid w:val="0019341A"/>
    <w:rsid w:val="00197DF9"/>
    <w:rsid w:val="001A0893"/>
    <w:rsid w:val="001A1987"/>
    <w:rsid w:val="001A2265"/>
    <w:rsid w:val="001A2564"/>
    <w:rsid w:val="001A4174"/>
    <w:rsid w:val="001A6173"/>
    <w:rsid w:val="001A65F3"/>
    <w:rsid w:val="001A68CB"/>
    <w:rsid w:val="001A6CBA"/>
    <w:rsid w:val="001B0D97"/>
    <w:rsid w:val="001B3380"/>
    <w:rsid w:val="001B5956"/>
    <w:rsid w:val="001B5A5D"/>
    <w:rsid w:val="001C17C1"/>
    <w:rsid w:val="001C1CE5"/>
    <w:rsid w:val="001C3D2A"/>
    <w:rsid w:val="001C6495"/>
    <w:rsid w:val="001D51BA"/>
    <w:rsid w:val="001D6342"/>
    <w:rsid w:val="001D6D53"/>
    <w:rsid w:val="001E243B"/>
    <w:rsid w:val="001E58E2"/>
    <w:rsid w:val="001E7AED"/>
    <w:rsid w:val="001F3916"/>
    <w:rsid w:val="001F54C5"/>
    <w:rsid w:val="001F662C"/>
    <w:rsid w:val="001F7074"/>
    <w:rsid w:val="00200490"/>
    <w:rsid w:val="00201F3A"/>
    <w:rsid w:val="002033F1"/>
    <w:rsid w:val="00203F96"/>
    <w:rsid w:val="00205C37"/>
    <w:rsid w:val="002069B2"/>
    <w:rsid w:val="00207FA3"/>
    <w:rsid w:val="002100CC"/>
    <w:rsid w:val="00214CBE"/>
    <w:rsid w:val="00214DA8"/>
    <w:rsid w:val="00215423"/>
    <w:rsid w:val="002158FA"/>
    <w:rsid w:val="0021625B"/>
    <w:rsid w:val="00220600"/>
    <w:rsid w:val="002224DB"/>
    <w:rsid w:val="00223FCB"/>
    <w:rsid w:val="002252C3"/>
    <w:rsid w:val="00225C54"/>
    <w:rsid w:val="00230765"/>
    <w:rsid w:val="002319E4"/>
    <w:rsid w:val="00234585"/>
    <w:rsid w:val="00235632"/>
    <w:rsid w:val="00235872"/>
    <w:rsid w:val="00240B19"/>
    <w:rsid w:val="00241559"/>
    <w:rsid w:val="002435B3"/>
    <w:rsid w:val="002458BD"/>
    <w:rsid w:val="002458EB"/>
    <w:rsid w:val="002500C8"/>
    <w:rsid w:val="00253B87"/>
    <w:rsid w:val="00257543"/>
    <w:rsid w:val="002617E7"/>
    <w:rsid w:val="00261FC8"/>
    <w:rsid w:val="00262543"/>
    <w:rsid w:val="00264228"/>
    <w:rsid w:val="00264334"/>
    <w:rsid w:val="0026473E"/>
    <w:rsid w:val="00266214"/>
    <w:rsid w:val="00267C83"/>
    <w:rsid w:val="0027144F"/>
    <w:rsid w:val="00271F3A"/>
    <w:rsid w:val="00273278"/>
    <w:rsid w:val="002737F4"/>
    <w:rsid w:val="002805F5"/>
    <w:rsid w:val="00280751"/>
    <w:rsid w:val="0028280A"/>
    <w:rsid w:val="00286ACD"/>
    <w:rsid w:val="0028722D"/>
    <w:rsid w:val="00287838"/>
    <w:rsid w:val="002907B5"/>
    <w:rsid w:val="00292EB7"/>
    <w:rsid w:val="00296227"/>
    <w:rsid w:val="00296F44"/>
    <w:rsid w:val="0029777D"/>
    <w:rsid w:val="002A055E"/>
    <w:rsid w:val="002A1D4E"/>
    <w:rsid w:val="002A2869"/>
    <w:rsid w:val="002B14DF"/>
    <w:rsid w:val="002B24D6"/>
    <w:rsid w:val="002C41E6"/>
    <w:rsid w:val="002D071A"/>
    <w:rsid w:val="002D34B2"/>
    <w:rsid w:val="002D7637"/>
    <w:rsid w:val="002E02BA"/>
    <w:rsid w:val="002E17F2"/>
    <w:rsid w:val="002E7CAE"/>
    <w:rsid w:val="002F1619"/>
    <w:rsid w:val="002F2771"/>
    <w:rsid w:val="002F37A9"/>
    <w:rsid w:val="00301CE6"/>
    <w:rsid w:val="0030256B"/>
    <w:rsid w:val="0030501F"/>
    <w:rsid w:val="00307BA1"/>
    <w:rsid w:val="0031099E"/>
    <w:rsid w:val="00311702"/>
    <w:rsid w:val="00311E82"/>
    <w:rsid w:val="00313FD6"/>
    <w:rsid w:val="003143BD"/>
    <w:rsid w:val="00316AA7"/>
    <w:rsid w:val="00317B01"/>
    <w:rsid w:val="003203ED"/>
    <w:rsid w:val="00322C9F"/>
    <w:rsid w:val="00322F49"/>
    <w:rsid w:val="00324D23"/>
    <w:rsid w:val="00331751"/>
    <w:rsid w:val="003337B1"/>
    <w:rsid w:val="00334002"/>
    <w:rsid w:val="00334579"/>
    <w:rsid w:val="00335858"/>
    <w:rsid w:val="00336BDA"/>
    <w:rsid w:val="00340271"/>
    <w:rsid w:val="00340947"/>
    <w:rsid w:val="00342BD7"/>
    <w:rsid w:val="00343A07"/>
    <w:rsid w:val="00346DB5"/>
    <w:rsid w:val="003477B1"/>
    <w:rsid w:val="0035482C"/>
    <w:rsid w:val="00356B04"/>
    <w:rsid w:val="00356D68"/>
    <w:rsid w:val="00357380"/>
    <w:rsid w:val="003602D9"/>
    <w:rsid w:val="003604CE"/>
    <w:rsid w:val="003606FC"/>
    <w:rsid w:val="0036168A"/>
    <w:rsid w:val="00365410"/>
    <w:rsid w:val="00370E47"/>
    <w:rsid w:val="00372487"/>
    <w:rsid w:val="003742AC"/>
    <w:rsid w:val="00377CE1"/>
    <w:rsid w:val="00385BF0"/>
    <w:rsid w:val="003939FF"/>
    <w:rsid w:val="00393F53"/>
    <w:rsid w:val="00396A7E"/>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66B"/>
    <w:rsid w:val="00427248"/>
    <w:rsid w:val="00437447"/>
    <w:rsid w:val="00441A92"/>
    <w:rsid w:val="00444F56"/>
    <w:rsid w:val="00445216"/>
    <w:rsid w:val="00446488"/>
    <w:rsid w:val="00451608"/>
    <w:rsid w:val="004517AA"/>
    <w:rsid w:val="00452CAC"/>
    <w:rsid w:val="0045600B"/>
    <w:rsid w:val="00456B77"/>
    <w:rsid w:val="00457565"/>
    <w:rsid w:val="00457B71"/>
    <w:rsid w:val="00464AAC"/>
    <w:rsid w:val="00465F3A"/>
    <w:rsid w:val="004669E2"/>
    <w:rsid w:val="00470C31"/>
    <w:rsid w:val="00472C1A"/>
    <w:rsid w:val="004734D0"/>
    <w:rsid w:val="0047556B"/>
    <w:rsid w:val="00477768"/>
    <w:rsid w:val="00491093"/>
    <w:rsid w:val="00492710"/>
    <w:rsid w:val="00492BC5"/>
    <w:rsid w:val="00492C6A"/>
    <w:rsid w:val="004964F1"/>
    <w:rsid w:val="004A16BC"/>
    <w:rsid w:val="004A2049"/>
    <w:rsid w:val="004A2B94"/>
    <w:rsid w:val="004B5697"/>
    <w:rsid w:val="004B7C0C"/>
    <w:rsid w:val="004C3898"/>
    <w:rsid w:val="004C54B9"/>
    <w:rsid w:val="004C79D9"/>
    <w:rsid w:val="004D36B1"/>
    <w:rsid w:val="004D7EBD"/>
    <w:rsid w:val="004E2680"/>
    <w:rsid w:val="004E28F9"/>
    <w:rsid w:val="004E462E"/>
    <w:rsid w:val="004E4AB5"/>
    <w:rsid w:val="004E56DC"/>
    <w:rsid w:val="004E76F4"/>
    <w:rsid w:val="004F0B4E"/>
    <w:rsid w:val="004F0B6C"/>
    <w:rsid w:val="004F2078"/>
    <w:rsid w:val="004F4DA3"/>
    <w:rsid w:val="005013E8"/>
    <w:rsid w:val="00506557"/>
    <w:rsid w:val="0050677A"/>
    <w:rsid w:val="00507347"/>
    <w:rsid w:val="005108D8"/>
    <w:rsid w:val="005116F9"/>
    <w:rsid w:val="00513CB7"/>
    <w:rsid w:val="005153A7"/>
    <w:rsid w:val="005219CF"/>
    <w:rsid w:val="00527A3A"/>
    <w:rsid w:val="00527E70"/>
    <w:rsid w:val="00531534"/>
    <w:rsid w:val="00533838"/>
    <w:rsid w:val="005338D0"/>
    <w:rsid w:val="00534B59"/>
    <w:rsid w:val="00536759"/>
    <w:rsid w:val="00537C62"/>
    <w:rsid w:val="0054025E"/>
    <w:rsid w:val="00546970"/>
    <w:rsid w:val="00551A3C"/>
    <w:rsid w:val="00554E19"/>
    <w:rsid w:val="0056121F"/>
    <w:rsid w:val="00572505"/>
    <w:rsid w:val="00573AF9"/>
    <w:rsid w:val="00577B00"/>
    <w:rsid w:val="00580202"/>
    <w:rsid w:val="005804C2"/>
    <w:rsid w:val="00582809"/>
    <w:rsid w:val="0058798C"/>
    <w:rsid w:val="00587D44"/>
    <w:rsid w:val="005900FA"/>
    <w:rsid w:val="005935A4"/>
    <w:rsid w:val="005948C2"/>
    <w:rsid w:val="00595DCA"/>
    <w:rsid w:val="0059779B"/>
    <w:rsid w:val="005977D1"/>
    <w:rsid w:val="005A209A"/>
    <w:rsid w:val="005A33D1"/>
    <w:rsid w:val="005A662D"/>
    <w:rsid w:val="005A7988"/>
    <w:rsid w:val="005B35D7"/>
    <w:rsid w:val="005B392A"/>
    <w:rsid w:val="005B3AA3"/>
    <w:rsid w:val="005B6F83"/>
    <w:rsid w:val="005C0FE4"/>
    <w:rsid w:val="005C74FB"/>
    <w:rsid w:val="005D1602"/>
    <w:rsid w:val="005D5349"/>
    <w:rsid w:val="005E385F"/>
    <w:rsid w:val="005E52BC"/>
    <w:rsid w:val="005E5B81"/>
    <w:rsid w:val="005F2CB1"/>
    <w:rsid w:val="005F3025"/>
    <w:rsid w:val="005F4D03"/>
    <w:rsid w:val="005F618C"/>
    <w:rsid w:val="005F70BD"/>
    <w:rsid w:val="0060283C"/>
    <w:rsid w:val="00604F14"/>
    <w:rsid w:val="00605F62"/>
    <w:rsid w:val="00606D9A"/>
    <w:rsid w:val="00610FD9"/>
    <w:rsid w:val="00611B83"/>
    <w:rsid w:val="00612911"/>
    <w:rsid w:val="00613257"/>
    <w:rsid w:val="0061589B"/>
    <w:rsid w:val="00620587"/>
    <w:rsid w:val="00620A71"/>
    <w:rsid w:val="00620D80"/>
    <w:rsid w:val="006234A6"/>
    <w:rsid w:val="00624D23"/>
    <w:rsid w:val="00630001"/>
    <w:rsid w:val="006311B3"/>
    <w:rsid w:val="0063284C"/>
    <w:rsid w:val="00636398"/>
    <w:rsid w:val="006368D3"/>
    <w:rsid w:val="006377EC"/>
    <w:rsid w:val="0064151F"/>
    <w:rsid w:val="00641533"/>
    <w:rsid w:val="00641F70"/>
    <w:rsid w:val="0064208D"/>
    <w:rsid w:val="00643475"/>
    <w:rsid w:val="0064396A"/>
    <w:rsid w:val="0064624E"/>
    <w:rsid w:val="00650AB9"/>
    <w:rsid w:val="006523D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D08"/>
    <w:rsid w:val="006771F9"/>
    <w:rsid w:val="006776D7"/>
    <w:rsid w:val="00681003"/>
    <w:rsid w:val="006817C9"/>
    <w:rsid w:val="00683ECE"/>
    <w:rsid w:val="006840C9"/>
    <w:rsid w:val="0068673E"/>
    <w:rsid w:val="00695FC2"/>
    <w:rsid w:val="00696949"/>
    <w:rsid w:val="00697052"/>
    <w:rsid w:val="006A46FB"/>
    <w:rsid w:val="006A5E28"/>
    <w:rsid w:val="006A697B"/>
    <w:rsid w:val="006A7AFF"/>
    <w:rsid w:val="006B1816"/>
    <w:rsid w:val="006B2099"/>
    <w:rsid w:val="006B364F"/>
    <w:rsid w:val="006B4892"/>
    <w:rsid w:val="006B50CF"/>
    <w:rsid w:val="006C03B8"/>
    <w:rsid w:val="006C5EC9"/>
    <w:rsid w:val="006C6059"/>
    <w:rsid w:val="006C7522"/>
    <w:rsid w:val="006D5EDD"/>
    <w:rsid w:val="006D6F08"/>
    <w:rsid w:val="006E062C"/>
    <w:rsid w:val="006E133E"/>
    <w:rsid w:val="006E28B7"/>
    <w:rsid w:val="006E3310"/>
    <w:rsid w:val="006E4E39"/>
    <w:rsid w:val="006E565E"/>
    <w:rsid w:val="006E673D"/>
    <w:rsid w:val="006E7D3B"/>
    <w:rsid w:val="006F18E7"/>
    <w:rsid w:val="006F1B70"/>
    <w:rsid w:val="006F341D"/>
    <w:rsid w:val="006F3CDE"/>
    <w:rsid w:val="006F4584"/>
    <w:rsid w:val="006F58D4"/>
    <w:rsid w:val="00702F6C"/>
    <w:rsid w:val="0070346E"/>
    <w:rsid w:val="00704EDB"/>
    <w:rsid w:val="0070537F"/>
    <w:rsid w:val="00706101"/>
    <w:rsid w:val="00707072"/>
    <w:rsid w:val="00707D61"/>
    <w:rsid w:val="00711F9F"/>
    <w:rsid w:val="00712287"/>
    <w:rsid w:val="00712772"/>
    <w:rsid w:val="007148D3"/>
    <w:rsid w:val="00715B9A"/>
    <w:rsid w:val="00721593"/>
    <w:rsid w:val="00726EA6"/>
    <w:rsid w:val="00727208"/>
    <w:rsid w:val="00727680"/>
    <w:rsid w:val="00731086"/>
    <w:rsid w:val="007348B1"/>
    <w:rsid w:val="00734B23"/>
    <w:rsid w:val="007362A6"/>
    <w:rsid w:val="00736D7D"/>
    <w:rsid w:val="00740E58"/>
    <w:rsid w:val="0074344F"/>
    <w:rsid w:val="0074351B"/>
    <w:rsid w:val="0074405B"/>
    <w:rsid w:val="007445A0"/>
    <w:rsid w:val="007445E6"/>
    <w:rsid w:val="00744E86"/>
    <w:rsid w:val="0074524B"/>
    <w:rsid w:val="00747D8B"/>
    <w:rsid w:val="00751069"/>
    <w:rsid w:val="00751228"/>
    <w:rsid w:val="007571E1"/>
    <w:rsid w:val="007604B2"/>
    <w:rsid w:val="00765281"/>
    <w:rsid w:val="00766BAD"/>
    <w:rsid w:val="007724CB"/>
    <w:rsid w:val="007730BD"/>
    <w:rsid w:val="007755F2"/>
    <w:rsid w:val="00776971"/>
    <w:rsid w:val="007801C2"/>
    <w:rsid w:val="0078177E"/>
    <w:rsid w:val="007828B7"/>
    <w:rsid w:val="0078304C"/>
    <w:rsid w:val="00783673"/>
    <w:rsid w:val="00785490"/>
    <w:rsid w:val="007863C1"/>
    <w:rsid w:val="00790DDD"/>
    <w:rsid w:val="007925EA"/>
    <w:rsid w:val="00793CD8"/>
    <w:rsid w:val="00795C92"/>
    <w:rsid w:val="00796231"/>
    <w:rsid w:val="007A1CB3"/>
    <w:rsid w:val="007A306F"/>
    <w:rsid w:val="007A43A6"/>
    <w:rsid w:val="007A5844"/>
    <w:rsid w:val="007A58A6"/>
    <w:rsid w:val="007A73CC"/>
    <w:rsid w:val="007A767D"/>
    <w:rsid w:val="007A78B8"/>
    <w:rsid w:val="007B0BF4"/>
    <w:rsid w:val="007B3D2D"/>
    <w:rsid w:val="007B46AB"/>
    <w:rsid w:val="007B50AE"/>
    <w:rsid w:val="007B51DF"/>
    <w:rsid w:val="007C05DD"/>
    <w:rsid w:val="007C3D18"/>
    <w:rsid w:val="007C60BF"/>
    <w:rsid w:val="007C6A07"/>
    <w:rsid w:val="007C75A1"/>
    <w:rsid w:val="007C77A5"/>
    <w:rsid w:val="007D04E5"/>
    <w:rsid w:val="007D567D"/>
    <w:rsid w:val="007D5901"/>
    <w:rsid w:val="007D7526"/>
    <w:rsid w:val="007E290F"/>
    <w:rsid w:val="007E4610"/>
    <w:rsid w:val="007E4715"/>
    <w:rsid w:val="007E489F"/>
    <w:rsid w:val="007E4BD9"/>
    <w:rsid w:val="007E505B"/>
    <w:rsid w:val="007E578D"/>
    <w:rsid w:val="007E6443"/>
    <w:rsid w:val="007E7091"/>
    <w:rsid w:val="00803FAE"/>
    <w:rsid w:val="0080605F"/>
    <w:rsid w:val="00807786"/>
    <w:rsid w:val="00811FCB"/>
    <w:rsid w:val="008154E9"/>
    <w:rsid w:val="008158D6"/>
    <w:rsid w:val="00817196"/>
    <w:rsid w:val="00817754"/>
    <w:rsid w:val="00817EDE"/>
    <w:rsid w:val="008235DB"/>
    <w:rsid w:val="00824AB4"/>
    <w:rsid w:val="00825C42"/>
    <w:rsid w:val="00825D25"/>
    <w:rsid w:val="00827D6F"/>
    <w:rsid w:val="00831268"/>
    <w:rsid w:val="008376AC"/>
    <w:rsid w:val="00841966"/>
    <w:rsid w:val="008444E8"/>
    <w:rsid w:val="00844E80"/>
    <w:rsid w:val="00846FE7"/>
    <w:rsid w:val="00850CEC"/>
    <w:rsid w:val="00851A0F"/>
    <w:rsid w:val="00856911"/>
    <w:rsid w:val="008617AB"/>
    <w:rsid w:val="00864667"/>
    <w:rsid w:val="008677FD"/>
    <w:rsid w:val="0087035B"/>
    <w:rsid w:val="008706D4"/>
    <w:rsid w:val="00870F8A"/>
    <w:rsid w:val="008719A4"/>
    <w:rsid w:val="00871D23"/>
    <w:rsid w:val="00874312"/>
    <w:rsid w:val="0087437C"/>
    <w:rsid w:val="00875CD7"/>
    <w:rsid w:val="00876B4D"/>
    <w:rsid w:val="00877F18"/>
    <w:rsid w:val="00882961"/>
    <w:rsid w:val="00894A88"/>
    <w:rsid w:val="00895386"/>
    <w:rsid w:val="008A21FF"/>
    <w:rsid w:val="008A2CE2"/>
    <w:rsid w:val="008A30AC"/>
    <w:rsid w:val="008A3731"/>
    <w:rsid w:val="008A44B8"/>
    <w:rsid w:val="008A51A8"/>
    <w:rsid w:val="008A54C7"/>
    <w:rsid w:val="008A6E64"/>
    <w:rsid w:val="008A77D8"/>
    <w:rsid w:val="008B0483"/>
    <w:rsid w:val="008B120C"/>
    <w:rsid w:val="008B1C31"/>
    <w:rsid w:val="008B51A0"/>
    <w:rsid w:val="008B592A"/>
    <w:rsid w:val="008B7B5C"/>
    <w:rsid w:val="008C0C99"/>
    <w:rsid w:val="008C2017"/>
    <w:rsid w:val="008C4958"/>
    <w:rsid w:val="008C4BAA"/>
    <w:rsid w:val="008C6AE8"/>
    <w:rsid w:val="008C7573"/>
    <w:rsid w:val="008D34F1"/>
    <w:rsid w:val="008D39D8"/>
    <w:rsid w:val="008D5D42"/>
    <w:rsid w:val="008D6D1A"/>
    <w:rsid w:val="008E065E"/>
    <w:rsid w:val="008E0927"/>
    <w:rsid w:val="008E1909"/>
    <w:rsid w:val="008E1F09"/>
    <w:rsid w:val="008F1D0B"/>
    <w:rsid w:val="008F1EAB"/>
    <w:rsid w:val="008F33DC"/>
    <w:rsid w:val="008F477F"/>
    <w:rsid w:val="008F4F91"/>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685"/>
    <w:rsid w:val="00943742"/>
    <w:rsid w:val="00945365"/>
    <w:rsid w:val="00945C05"/>
    <w:rsid w:val="00946945"/>
    <w:rsid w:val="00947713"/>
    <w:rsid w:val="00950DE7"/>
    <w:rsid w:val="00952808"/>
    <w:rsid w:val="00953920"/>
    <w:rsid w:val="00953D47"/>
    <w:rsid w:val="0095681E"/>
    <w:rsid w:val="009572D4"/>
    <w:rsid w:val="00960B76"/>
    <w:rsid w:val="00961921"/>
    <w:rsid w:val="0096430A"/>
    <w:rsid w:val="0096554B"/>
    <w:rsid w:val="0096584A"/>
    <w:rsid w:val="00971F08"/>
    <w:rsid w:val="0097603D"/>
    <w:rsid w:val="00976949"/>
    <w:rsid w:val="00980477"/>
    <w:rsid w:val="00980AEA"/>
    <w:rsid w:val="00985253"/>
    <w:rsid w:val="009853B3"/>
    <w:rsid w:val="00987886"/>
    <w:rsid w:val="00990630"/>
    <w:rsid w:val="00991761"/>
    <w:rsid w:val="00994DCA"/>
    <w:rsid w:val="009960EC"/>
    <w:rsid w:val="009970DD"/>
    <w:rsid w:val="00997E51"/>
    <w:rsid w:val="009A0FBA"/>
    <w:rsid w:val="009A1601"/>
    <w:rsid w:val="009A432F"/>
    <w:rsid w:val="009A462D"/>
    <w:rsid w:val="009A5CBA"/>
    <w:rsid w:val="009A6C96"/>
    <w:rsid w:val="009B0034"/>
    <w:rsid w:val="009B007B"/>
    <w:rsid w:val="009B02FB"/>
    <w:rsid w:val="009B14A1"/>
    <w:rsid w:val="009B1F30"/>
    <w:rsid w:val="009B3AC2"/>
    <w:rsid w:val="009B4DF4"/>
    <w:rsid w:val="009B564E"/>
    <w:rsid w:val="009B7E87"/>
    <w:rsid w:val="009C3258"/>
    <w:rsid w:val="009C403E"/>
    <w:rsid w:val="009C58D2"/>
    <w:rsid w:val="009C6803"/>
    <w:rsid w:val="009D4FF0"/>
    <w:rsid w:val="009D6456"/>
    <w:rsid w:val="009D703C"/>
    <w:rsid w:val="009D718F"/>
    <w:rsid w:val="009E068F"/>
    <w:rsid w:val="009E14E0"/>
    <w:rsid w:val="009E35DB"/>
    <w:rsid w:val="009E47A3"/>
    <w:rsid w:val="009F08F3"/>
    <w:rsid w:val="009F1ECE"/>
    <w:rsid w:val="009F344F"/>
    <w:rsid w:val="009F4FF6"/>
    <w:rsid w:val="009F5747"/>
    <w:rsid w:val="00A02EF9"/>
    <w:rsid w:val="00A048A8"/>
    <w:rsid w:val="00A04F49"/>
    <w:rsid w:val="00A113A6"/>
    <w:rsid w:val="00A13E54"/>
    <w:rsid w:val="00A17109"/>
    <w:rsid w:val="00A17F63"/>
    <w:rsid w:val="00A2193B"/>
    <w:rsid w:val="00A2351A"/>
    <w:rsid w:val="00A24685"/>
    <w:rsid w:val="00A257E5"/>
    <w:rsid w:val="00A264A9"/>
    <w:rsid w:val="00A27785"/>
    <w:rsid w:val="00A279E6"/>
    <w:rsid w:val="00A30187"/>
    <w:rsid w:val="00A311CE"/>
    <w:rsid w:val="00A32DDD"/>
    <w:rsid w:val="00A3448A"/>
    <w:rsid w:val="00A36297"/>
    <w:rsid w:val="00A41E2B"/>
    <w:rsid w:val="00A42E79"/>
    <w:rsid w:val="00A45B74"/>
    <w:rsid w:val="00A46E87"/>
    <w:rsid w:val="00A52E1D"/>
    <w:rsid w:val="00A55F11"/>
    <w:rsid w:val="00A61499"/>
    <w:rsid w:val="00A62A77"/>
    <w:rsid w:val="00A63483"/>
    <w:rsid w:val="00A657D7"/>
    <w:rsid w:val="00A660AC"/>
    <w:rsid w:val="00A67E6C"/>
    <w:rsid w:val="00A71B99"/>
    <w:rsid w:val="00A739D0"/>
    <w:rsid w:val="00A761D4"/>
    <w:rsid w:val="00A77EC4"/>
    <w:rsid w:val="00A92879"/>
    <w:rsid w:val="00A929D4"/>
    <w:rsid w:val="00A9442A"/>
    <w:rsid w:val="00AA016F"/>
    <w:rsid w:val="00AA16CB"/>
    <w:rsid w:val="00AA1ED6"/>
    <w:rsid w:val="00AA51D6"/>
    <w:rsid w:val="00AA5551"/>
    <w:rsid w:val="00AB0BC8"/>
    <w:rsid w:val="00AB11CA"/>
    <w:rsid w:val="00AB14D9"/>
    <w:rsid w:val="00AB4AB8"/>
    <w:rsid w:val="00AB655E"/>
    <w:rsid w:val="00AC007F"/>
    <w:rsid w:val="00AC2059"/>
    <w:rsid w:val="00AC2ECD"/>
    <w:rsid w:val="00AC3119"/>
    <w:rsid w:val="00AC49FB"/>
    <w:rsid w:val="00AC5A10"/>
    <w:rsid w:val="00AC68BA"/>
    <w:rsid w:val="00AC6FF1"/>
    <w:rsid w:val="00AD0AA3"/>
    <w:rsid w:val="00AD0DC6"/>
    <w:rsid w:val="00AD3BF9"/>
    <w:rsid w:val="00AD3F94"/>
    <w:rsid w:val="00AD4A5A"/>
    <w:rsid w:val="00AD6FFD"/>
    <w:rsid w:val="00AE27AC"/>
    <w:rsid w:val="00AE40E0"/>
    <w:rsid w:val="00AE4DBA"/>
    <w:rsid w:val="00AE4F07"/>
    <w:rsid w:val="00AF1C5D"/>
    <w:rsid w:val="00AF42D7"/>
    <w:rsid w:val="00AF447E"/>
    <w:rsid w:val="00AF4D3F"/>
    <w:rsid w:val="00B006FE"/>
    <w:rsid w:val="00B007CB"/>
    <w:rsid w:val="00B02AA9"/>
    <w:rsid w:val="00B02FA3"/>
    <w:rsid w:val="00B05084"/>
    <w:rsid w:val="00B13137"/>
    <w:rsid w:val="00B157F9"/>
    <w:rsid w:val="00B167F1"/>
    <w:rsid w:val="00B20256"/>
    <w:rsid w:val="00B20D09"/>
    <w:rsid w:val="00B25A18"/>
    <w:rsid w:val="00B2763F"/>
    <w:rsid w:val="00B27931"/>
    <w:rsid w:val="00B27AAC"/>
    <w:rsid w:val="00B30929"/>
    <w:rsid w:val="00B372AA"/>
    <w:rsid w:val="00B4013A"/>
    <w:rsid w:val="00B40445"/>
    <w:rsid w:val="00B41888"/>
    <w:rsid w:val="00B42BDB"/>
    <w:rsid w:val="00B43533"/>
    <w:rsid w:val="00B45A52"/>
    <w:rsid w:val="00B46175"/>
    <w:rsid w:val="00B62AAA"/>
    <w:rsid w:val="00B664C7"/>
    <w:rsid w:val="00B739F6"/>
    <w:rsid w:val="00B81A6C"/>
    <w:rsid w:val="00B81F5B"/>
    <w:rsid w:val="00B84294"/>
    <w:rsid w:val="00B85DE5"/>
    <w:rsid w:val="00B90F73"/>
    <w:rsid w:val="00B92F8E"/>
    <w:rsid w:val="00B93B59"/>
    <w:rsid w:val="00B9406A"/>
    <w:rsid w:val="00B945A3"/>
    <w:rsid w:val="00BA12E9"/>
    <w:rsid w:val="00BA2280"/>
    <w:rsid w:val="00BA2A08"/>
    <w:rsid w:val="00BA56D2"/>
    <w:rsid w:val="00BA76E0"/>
    <w:rsid w:val="00BB2A25"/>
    <w:rsid w:val="00BB33E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3A3"/>
    <w:rsid w:val="00C040F7"/>
    <w:rsid w:val="00C041B0"/>
    <w:rsid w:val="00C044AB"/>
    <w:rsid w:val="00C05706"/>
    <w:rsid w:val="00C05E0B"/>
    <w:rsid w:val="00C07377"/>
    <w:rsid w:val="00C10478"/>
    <w:rsid w:val="00C12107"/>
    <w:rsid w:val="00C14D4B"/>
    <w:rsid w:val="00C154BB"/>
    <w:rsid w:val="00C26FAA"/>
    <w:rsid w:val="00C279B5"/>
    <w:rsid w:val="00C27C45"/>
    <w:rsid w:val="00C3719D"/>
    <w:rsid w:val="00C4342C"/>
    <w:rsid w:val="00C52BF9"/>
    <w:rsid w:val="00C54995"/>
    <w:rsid w:val="00C54D41"/>
    <w:rsid w:val="00C55140"/>
    <w:rsid w:val="00C55538"/>
    <w:rsid w:val="00C60783"/>
    <w:rsid w:val="00C64672"/>
    <w:rsid w:val="00C65823"/>
    <w:rsid w:val="00C70697"/>
    <w:rsid w:val="00C72EF4"/>
    <w:rsid w:val="00C7420E"/>
    <w:rsid w:val="00C75D2F"/>
    <w:rsid w:val="00C767BE"/>
    <w:rsid w:val="00C76963"/>
    <w:rsid w:val="00C76E3C"/>
    <w:rsid w:val="00C81568"/>
    <w:rsid w:val="00C9027A"/>
    <w:rsid w:val="00C9068E"/>
    <w:rsid w:val="00C93C4B"/>
    <w:rsid w:val="00C944AB"/>
    <w:rsid w:val="00C95B40"/>
    <w:rsid w:val="00CA1ED8"/>
    <w:rsid w:val="00CB1F63"/>
    <w:rsid w:val="00CB2CCE"/>
    <w:rsid w:val="00CB49E8"/>
    <w:rsid w:val="00CB7170"/>
    <w:rsid w:val="00CC040E"/>
    <w:rsid w:val="00CC111F"/>
    <w:rsid w:val="00CC2011"/>
    <w:rsid w:val="00CC3EA0"/>
    <w:rsid w:val="00CC7B45"/>
    <w:rsid w:val="00CD1188"/>
    <w:rsid w:val="00CD2ED1"/>
    <w:rsid w:val="00CD337B"/>
    <w:rsid w:val="00CD4361"/>
    <w:rsid w:val="00CE0424"/>
    <w:rsid w:val="00CE28F6"/>
    <w:rsid w:val="00CE4E69"/>
    <w:rsid w:val="00CE7561"/>
    <w:rsid w:val="00CE7BE0"/>
    <w:rsid w:val="00CF1354"/>
    <w:rsid w:val="00CF3B1F"/>
    <w:rsid w:val="00CF3BF6"/>
    <w:rsid w:val="00CF4418"/>
    <w:rsid w:val="00CF625B"/>
    <w:rsid w:val="00CF6856"/>
    <w:rsid w:val="00CF687E"/>
    <w:rsid w:val="00D003CC"/>
    <w:rsid w:val="00D0349B"/>
    <w:rsid w:val="00D04434"/>
    <w:rsid w:val="00D06F7D"/>
    <w:rsid w:val="00D10249"/>
    <w:rsid w:val="00D115C3"/>
    <w:rsid w:val="00D11897"/>
    <w:rsid w:val="00D13135"/>
    <w:rsid w:val="00D13E4E"/>
    <w:rsid w:val="00D239A7"/>
    <w:rsid w:val="00D23F47"/>
    <w:rsid w:val="00D3005B"/>
    <w:rsid w:val="00D30C94"/>
    <w:rsid w:val="00D32EAE"/>
    <w:rsid w:val="00D36E71"/>
    <w:rsid w:val="00D37D87"/>
    <w:rsid w:val="00D40B33"/>
    <w:rsid w:val="00D4139C"/>
    <w:rsid w:val="00D4318F"/>
    <w:rsid w:val="00D438BF"/>
    <w:rsid w:val="00D440F8"/>
    <w:rsid w:val="00D44CA6"/>
    <w:rsid w:val="00D546FF"/>
    <w:rsid w:val="00D55AD5"/>
    <w:rsid w:val="00D576CA"/>
    <w:rsid w:val="00D60E13"/>
    <w:rsid w:val="00D61AF5"/>
    <w:rsid w:val="00D62CD5"/>
    <w:rsid w:val="00D6435F"/>
    <w:rsid w:val="00D652B5"/>
    <w:rsid w:val="00D66155"/>
    <w:rsid w:val="00D70067"/>
    <w:rsid w:val="00D708B0"/>
    <w:rsid w:val="00D70E73"/>
    <w:rsid w:val="00D73EF5"/>
    <w:rsid w:val="00D77B1D"/>
    <w:rsid w:val="00D8021F"/>
    <w:rsid w:val="00D80383"/>
    <w:rsid w:val="00D823C6"/>
    <w:rsid w:val="00D82FDD"/>
    <w:rsid w:val="00D86CA3"/>
    <w:rsid w:val="00D871CE"/>
    <w:rsid w:val="00D9196D"/>
    <w:rsid w:val="00D92645"/>
    <w:rsid w:val="00D92982"/>
    <w:rsid w:val="00DA305E"/>
    <w:rsid w:val="00DA5007"/>
    <w:rsid w:val="00DA5417"/>
    <w:rsid w:val="00DA56E8"/>
    <w:rsid w:val="00DB089D"/>
    <w:rsid w:val="00DB0A9F"/>
    <w:rsid w:val="00DB3256"/>
    <w:rsid w:val="00DB377D"/>
    <w:rsid w:val="00DB4099"/>
    <w:rsid w:val="00DC1E4E"/>
    <w:rsid w:val="00DC2D36"/>
    <w:rsid w:val="00DC53EF"/>
    <w:rsid w:val="00DD2C11"/>
    <w:rsid w:val="00DD49C7"/>
    <w:rsid w:val="00DE0C48"/>
    <w:rsid w:val="00DE1B9E"/>
    <w:rsid w:val="00DE5608"/>
    <w:rsid w:val="00DE58D0"/>
    <w:rsid w:val="00DE654F"/>
    <w:rsid w:val="00DF0B6E"/>
    <w:rsid w:val="00DF15E0"/>
    <w:rsid w:val="00DF37A0"/>
    <w:rsid w:val="00DF5C56"/>
    <w:rsid w:val="00DF730E"/>
    <w:rsid w:val="00E110E7"/>
    <w:rsid w:val="00E11B20"/>
    <w:rsid w:val="00E17FA2"/>
    <w:rsid w:val="00E220D0"/>
    <w:rsid w:val="00E22330"/>
    <w:rsid w:val="00E24A1D"/>
    <w:rsid w:val="00E250A5"/>
    <w:rsid w:val="00E265F6"/>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B89"/>
    <w:rsid w:val="00E67C51"/>
    <w:rsid w:val="00E72EFC"/>
    <w:rsid w:val="00E74B43"/>
    <w:rsid w:val="00E758EC"/>
    <w:rsid w:val="00E76825"/>
    <w:rsid w:val="00E8234C"/>
    <w:rsid w:val="00E83AA9"/>
    <w:rsid w:val="00E85928"/>
    <w:rsid w:val="00E87822"/>
    <w:rsid w:val="00E90395"/>
    <w:rsid w:val="00E90E49"/>
    <w:rsid w:val="00E91745"/>
    <w:rsid w:val="00E917F9"/>
    <w:rsid w:val="00E9291C"/>
    <w:rsid w:val="00E93FFE"/>
    <w:rsid w:val="00E94F8A"/>
    <w:rsid w:val="00EA7A41"/>
    <w:rsid w:val="00EB077B"/>
    <w:rsid w:val="00EB4EA2"/>
    <w:rsid w:val="00EB64BE"/>
    <w:rsid w:val="00EC27C6"/>
    <w:rsid w:val="00EC4207"/>
    <w:rsid w:val="00EC5653"/>
    <w:rsid w:val="00EC60B5"/>
    <w:rsid w:val="00EC71CE"/>
    <w:rsid w:val="00EC7391"/>
    <w:rsid w:val="00ED1006"/>
    <w:rsid w:val="00ED7950"/>
    <w:rsid w:val="00EF0642"/>
    <w:rsid w:val="00EF18FE"/>
    <w:rsid w:val="00EF1B1F"/>
    <w:rsid w:val="00EF5787"/>
    <w:rsid w:val="00EF60D0"/>
    <w:rsid w:val="00F02D02"/>
    <w:rsid w:val="00F0528D"/>
    <w:rsid w:val="00F06C67"/>
    <w:rsid w:val="00F06DFD"/>
    <w:rsid w:val="00F071D1"/>
    <w:rsid w:val="00F07533"/>
    <w:rsid w:val="00F10629"/>
    <w:rsid w:val="00F15FA5"/>
    <w:rsid w:val="00F1730B"/>
    <w:rsid w:val="00F179A6"/>
    <w:rsid w:val="00F209B7"/>
    <w:rsid w:val="00F2376F"/>
    <w:rsid w:val="00F243D8"/>
    <w:rsid w:val="00F27A54"/>
    <w:rsid w:val="00F30828"/>
    <w:rsid w:val="00F313D6"/>
    <w:rsid w:val="00F33900"/>
    <w:rsid w:val="00F40F0C"/>
    <w:rsid w:val="00F441B0"/>
    <w:rsid w:val="00F44C8D"/>
    <w:rsid w:val="00F4766C"/>
    <w:rsid w:val="00F507D1"/>
    <w:rsid w:val="00F519CE"/>
    <w:rsid w:val="00F51ADA"/>
    <w:rsid w:val="00F53AC3"/>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8753D"/>
    <w:rsid w:val="00F9056A"/>
    <w:rsid w:val="00F90F8D"/>
    <w:rsid w:val="00F91A26"/>
    <w:rsid w:val="00F92782"/>
    <w:rsid w:val="00F93AA9"/>
    <w:rsid w:val="00F9681A"/>
    <w:rsid w:val="00F96985"/>
    <w:rsid w:val="00F97838"/>
    <w:rsid w:val="00FA1C2E"/>
    <w:rsid w:val="00FA2BB3"/>
    <w:rsid w:val="00FB1782"/>
    <w:rsid w:val="00FB389E"/>
    <w:rsid w:val="00FB4C80"/>
    <w:rsid w:val="00FB5257"/>
    <w:rsid w:val="00FB6A6A"/>
    <w:rsid w:val="00FC4AD0"/>
    <w:rsid w:val="00FC50A0"/>
    <w:rsid w:val="00FC677F"/>
    <w:rsid w:val="00FC7429"/>
    <w:rsid w:val="00FD07F6"/>
    <w:rsid w:val="00FD130B"/>
    <w:rsid w:val="00FD1EC8"/>
    <w:rsid w:val="00FD3FB3"/>
    <w:rsid w:val="00FD47ED"/>
    <w:rsid w:val="00FD74DB"/>
    <w:rsid w:val="00FD7660"/>
    <w:rsid w:val="00FE0655"/>
    <w:rsid w:val="00FE2365"/>
    <w:rsid w:val="00FE4C7B"/>
    <w:rsid w:val="00FE7336"/>
    <w:rsid w:val="00FE787C"/>
    <w:rsid w:val="00FF45A5"/>
    <w:rsid w:val="00FF4B2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ED7D7041-4167-495A-B907-8B99CD4D4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uiPriority w:val="9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itle">
    <w:name w:val="Doc-title"/>
    <w:basedOn w:val="Normal"/>
    <w:next w:val="Doc-text2"/>
    <w:link w:val="Doc-titleChar"/>
    <w:qFormat/>
    <w:rsid w:val="00C55538"/>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C5553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55538"/>
    <w:rPr>
      <w:rFonts w:ascii="Arial" w:eastAsia="MS Mincho" w:hAnsi="Arial"/>
      <w:szCs w:val="24"/>
      <w:lang w:val="en-GB" w:eastAsia="en-GB"/>
    </w:rPr>
  </w:style>
  <w:style w:type="character" w:customStyle="1" w:styleId="Doc-titleChar">
    <w:name w:val="Doc-title Char"/>
    <w:link w:val="Doc-title"/>
    <w:rsid w:val="00C55538"/>
    <w:rPr>
      <w:rFonts w:ascii="Arial" w:eastAsia="MS Mincho" w:hAnsi="Arial"/>
      <w:noProof/>
      <w:szCs w:val="24"/>
      <w:lang w:val="en-GB" w:eastAsia="en-GB"/>
    </w:rPr>
  </w:style>
  <w:style w:type="character" w:customStyle="1" w:styleId="HeaderChar">
    <w:name w:val="Header Char"/>
    <w:link w:val="Header"/>
    <w:uiPriority w:val="99"/>
    <w:rsid w:val="00F27A54"/>
    <w:rPr>
      <w:rFonts w:ascii="Arial" w:hAnsi="Arial" w:cs="Arial"/>
      <w:b/>
      <w:bCs/>
      <w:noProof/>
      <w:sz w:val="18"/>
      <w:szCs w:val="18"/>
    </w:rPr>
  </w:style>
  <w:style w:type="paragraph" w:styleId="ListParagraph">
    <w:name w:val="List Paragraph"/>
    <w:basedOn w:val="Normal"/>
    <w:uiPriority w:val="34"/>
    <w:qFormat/>
    <w:rsid w:val="00C05E0B"/>
    <w:pPr>
      <w:ind w:left="720"/>
      <w:contextualSpacing/>
    </w:pPr>
  </w:style>
  <w:style w:type="paragraph" w:styleId="Revision">
    <w:name w:val="Revision"/>
    <w:hidden/>
    <w:uiPriority w:val="99"/>
    <w:semiHidden/>
    <w:rsid w:val="00E265F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7090051">
      <w:bodyDiv w:val="1"/>
      <w:marLeft w:val="0"/>
      <w:marRight w:val="0"/>
      <w:marTop w:val="0"/>
      <w:marBottom w:val="0"/>
      <w:divBdr>
        <w:top w:val="none" w:sz="0" w:space="0" w:color="auto"/>
        <w:left w:val="none" w:sz="0" w:space="0" w:color="auto"/>
        <w:bottom w:val="none" w:sz="0" w:space="0" w:color="auto"/>
        <w:right w:val="none" w:sz="0" w:space="0" w:color="auto"/>
      </w:divBdr>
    </w:div>
    <w:div w:id="1234194224">
      <w:bodyDiv w:val="1"/>
      <w:marLeft w:val="0"/>
      <w:marRight w:val="0"/>
      <w:marTop w:val="0"/>
      <w:marBottom w:val="0"/>
      <w:divBdr>
        <w:top w:val="none" w:sz="0" w:space="0" w:color="auto"/>
        <w:left w:val="none" w:sz="0" w:space="0" w:color="auto"/>
        <w:bottom w:val="none" w:sz="0" w:space="0" w:color="auto"/>
        <w:right w:val="none" w:sz="0" w:space="0" w:color="auto"/>
      </w:divBdr>
    </w:div>
    <w:div w:id="1299189379">
      <w:bodyDiv w:val="1"/>
      <w:marLeft w:val="0"/>
      <w:marRight w:val="0"/>
      <w:marTop w:val="0"/>
      <w:marBottom w:val="0"/>
      <w:divBdr>
        <w:top w:val="none" w:sz="0" w:space="0" w:color="auto"/>
        <w:left w:val="none" w:sz="0" w:space="0" w:color="auto"/>
        <w:bottom w:val="none" w:sz="0" w:space="0" w:color="auto"/>
        <w:right w:val="none" w:sz="0" w:space="0" w:color="auto"/>
      </w:divBdr>
    </w:div>
    <w:div w:id="1324697749">
      <w:bodyDiv w:val="1"/>
      <w:marLeft w:val="0"/>
      <w:marRight w:val="0"/>
      <w:marTop w:val="0"/>
      <w:marBottom w:val="0"/>
      <w:divBdr>
        <w:top w:val="none" w:sz="0" w:space="0" w:color="auto"/>
        <w:left w:val="none" w:sz="0" w:space="0" w:color="auto"/>
        <w:bottom w:val="none" w:sz="0" w:space="0" w:color="auto"/>
        <w:right w:val="none" w:sz="0" w:space="0" w:color="auto"/>
      </w:divBdr>
      <w:divsChild>
        <w:div w:id="1661077663">
          <w:marLeft w:val="274"/>
          <w:marRight w:val="0"/>
          <w:marTop w:val="58"/>
          <w:marBottom w:val="0"/>
          <w:divBdr>
            <w:top w:val="none" w:sz="0" w:space="0" w:color="auto"/>
            <w:left w:val="none" w:sz="0" w:space="0" w:color="auto"/>
            <w:bottom w:val="none" w:sz="0" w:space="0" w:color="auto"/>
            <w:right w:val="none" w:sz="0" w:space="0" w:color="auto"/>
          </w:divBdr>
        </w:div>
        <w:div w:id="1681080492">
          <w:marLeft w:val="835"/>
          <w:marRight w:val="0"/>
          <w:marTop w:val="43"/>
          <w:marBottom w:val="0"/>
          <w:divBdr>
            <w:top w:val="none" w:sz="0" w:space="0" w:color="auto"/>
            <w:left w:val="none" w:sz="0" w:space="0" w:color="auto"/>
            <w:bottom w:val="none" w:sz="0" w:space="0" w:color="auto"/>
            <w:right w:val="none" w:sz="0" w:space="0" w:color="auto"/>
          </w:divBdr>
        </w:div>
        <w:div w:id="165093411">
          <w:marLeft w:val="835"/>
          <w:marRight w:val="0"/>
          <w:marTop w:val="43"/>
          <w:marBottom w:val="0"/>
          <w:divBdr>
            <w:top w:val="none" w:sz="0" w:space="0" w:color="auto"/>
            <w:left w:val="none" w:sz="0" w:space="0" w:color="auto"/>
            <w:bottom w:val="none" w:sz="0" w:space="0" w:color="auto"/>
            <w:right w:val="none" w:sz="0" w:space="0" w:color="auto"/>
          </w:divBdr>
        </w:div>
        <w:div w:id="1210073288">
          <w:marLeft w:val="1411"/>
          <w:marRight w:val="0"/>
          <w:marTop w:val="43"/>
          <w:marBottom w:val="0"/>
          <w:divBdr>
            <w:top w:val="none" w:sz="0" w:space="0" w:color="auto"/>
            <w:left w:val="none" w:sz="0" w:space="0" w:color="auto"/>
            <w:bottom w:val="none" w:sz="0" w:space="0" w:color="auto"/>
            <w:right w:val="none" w:sz="0" w:space="0" w:color="auto"/>
          </w:divBdr>
        </w:div>
        <w:div w:id="155535942">
          <w:marLeft w:val="1411"/>
          <w:marRight w:val="0"/>
          <w:marTop w:val="43"/>
          <w:marBottom w:val="0"/>
          <w:divBdr>
            <w:top w:val="none" w:sz="0" w:space="0" w:color="auto"/>
            <w:left w:val="none" w:sz="0" w:space="0" w:color="auto"/>
            <w:bottom w:val="none" w:sz="0" w:space="0" w:color="auto"/>
            <w:right w:val="none" w:sz="0" w:space="0" w:color="auto"/>
          </w:divBdr>
        </w:div>
        <w:div w:id="810753284">
          <w:marLeft w:val="835"/>
          <w:marRight w:val="0"/>
          <w:marTop w:val="43"/>
          <w:marBottom w:val="0"/>
          <w:divBdr>
            <w:top w:val="none" w:sz="0" w:space="0" w:color="auto"/>
            <w:left w:val="none" w:sz="0" w:space="0" w:color="auto"/>
            <w:bottom w:val="none" w:sz="0" w:space="0" w:color="auto"/>
            <w:right w:val="none" w:sz="0" w:space="0" w:color="auto"/>
          </w:divBdr>
        </w:div>
        <w:div w:id="1549102773">
          <w:marLeft w:val="274"/>
          <w:marRight w:val="0"/>
          <w:marTop w:val="58"/>
          <w:marBottom w:val="0"/>
          <w:divBdr>
            <w:top w:val="none" w:sz="0" w:space="0" w:color="auto"/>
            <w:left w:val="none" w:sz="0" w:space="0" w:color="auto"/>
            <w:bottom w:val="none" w:sz="0" w:space="0" w:color="auto"/>
            <w:right w:val="none" w:sz="0" w:space="0" w:color="auto"/>
          </w:divBdr>
        </w:div>
        <w:div w:id="304311353">
          <w:marLeft w:val="835"/>
          <w:marRight w:val="0"/>
          <w:marTop w:val="43"/>
          <w:marBottom w:val="0"/>
          <w:divBdr>
            <w:top w:val="none" w:sz="0" w:space="0" w:color="auto"/>
            <w:left w:val="none" w:sz="0" w:space="0" w:color="auto"/>
            <w:bottom w:val="none" w:sz="0" w:space="0" w:color="auto"/>
            <w:right w:val="none" w:sz="0" w:space="0" w:color="auto"/>
          </w:divBdr>
        </w:div>
        <w:div w:id="2029601920">
          <w:marLeft w:val="835"/>
          <w:marRight w:val="0"/>
          <w:marTop w:val="43"/>
          <w:marBottom w:val="0"/>
          <w:divBdr>
            <w:top w:val="none" w:sz="0" w:space="0" w:color="auto"/>
            <w:left w:val="none" w:sz="0" w:space="0" w:color="auto"/>
            <w:bottom w:val="none" w:sz="0" w:space="0" w:color="auto"/>
            <w:right w:val="none" w:sz="0" w:space="0" w:color="auto"/>
          </w:divBdr>
        </w:div>
        <w:div w:id="1047147763">
          <w:marLeft w:val="835"/>
          <w:marRight w:val="0"/>
          <w:marTop w:val="43"/>
          <w:marBottom w:val="0"/>
          <w:divBdr>
            <w:top w:val="none" w:sz="0" w:space="0" w:color="auto"/>
            <w:left w:val="none" w:sz="0" w:space="0" w:color="auto"/>
            <w:bottom w:val="none" w:sz="0" w:space="0" w:color="auto"/>
            <w:right w:val="none" w:sz="0" w:space="0" w:color="auto"/>
          </w:divBdr>
        </w:div>
        <w:div w:id="641663009">
          <w:marLeft w:val="1411"/>
          <w:marRight w:val="0"/>
          <w:marTop w:val="43"/>
          <w:marBottom w:val="0"/>
          <w:divBdr>
            <w:top w:val="none" w:sz="0" w:space="0" w:color="auto"/>
            <w:left w:val="none" w:sz="0" w:space="0" w:color="auto"/>
            <w:bottom w:val="none" w:sz="0" w:space="0" w:color="auto"/>
            <w:right w:val="none" w:sz="0" w:space="0" w:color="auto"/>
          </w:divBdr>
        </w:div>
        <w:div w:id="1718629124">
          <w:marLeft w:val="1411"/>
          <w:marRight w:val="0"/>
          <w:marTop w:val="43"/>
          <w:marBottom w:val="0"/>
          <w:divBdr>
            <w:top w:val="none" w:sz="0" w:space="0" w:color="auto"/>
            <w:left w:val="none" w:sz="0" w:space="0" w:color="auto"/>
            <w:bottom w:val="none" w:sz="0" w:space="0" w:color="auto"/>
            <w:right w:val="none" w:sz="0" w:space="0" w:color="auto"/>
          </w:divBdr>
        </w:div>
        <w:div w:id="525866958">
          <w:marLeft w:val="1411"/>
          <w:marRight w:val="0"/>
          <w:marTop w:val="43"/>
          <w:marBottom w:val="0"/>
          <w:divBdr>
            <w:top w:val="none" w:sz="0" w:space="0" w:color="auto"/>
            <w:left w:val="none" w:sz="0" w:space="0" w:color="auto"/>
            <w:bottom w:val="none" w:sz="0" w:space="0" w:color="auto"/>
            <w:right w:val="none" w:sz="0" w:space="0" w:color="auto"/>
          </w:divBdr>
        </w:div>
        <w:div w:id="1818062860">
          <w:marLeft w:val="835"/>
          <w:marRight w:val="0"/>
          <w:marTop w:val="43"/>
          <w:marBottom w:val="0"/>
          <w:divBdr>
            <w:top w:val="none" w:sz="0" w:space="0" w:color="auto"/>
            <w:left w:val="none" w:sz="0" w:space="0" w:color="auto"/>
            <w:bottom w:val="none" w:sz="0" w:space="0" w:color="auto"/>
            <w:right w:val="none" w:sz="0" w:space="0" w:color="auto"/>
          </w:divBdr>
        </w:div>
        <w:div w:id="788747074">
          <w:marLeft w:val="1411"/>
          <w:marRight w:val="0"/>
          <w:marTop w:val="43"/>
          <w:marBottom w:val="0"/>
          <w:divBdr>
            <w:top w:val="none" w:sz="0" w:space="0" w:color="auto"/>
            <w:left w:val="none" w:sz="0" w:space="0" w:color="auto"/>
            <w:bottom w:val="none" w:sz="0" w:space="0" w:color="auto"/>
            <w:right w:val="none" w:sz="0" w:space="0" w:color="auto"/>
          </w:divBdr>
        </w:div>
        <w:div w:id="713848870">
          <w:marLeft w:val="1411"/>
          <w:marRight w:val="0"/>
          <w:marTop w:val="43"/>
          <w:marBottom w:val="0"/>
          <w:divBdr>
            <w:top w:val="none" w:sz="0" w:space="0" w:color="auto"/>
            <w:left w:val="none" w:sz="0" w:space="0" w:color="auto"/>
            <w:bottom w:val="none" w:sz="0" w:space="0" w:color="auto"/>
            <w:right w:val="none" w:sz="0" w:space="0" w:color="auto"/>
          </w:divBdr>
        </w:div>
        <w:div w:id="442920900">
          <w:marLeft w:val="1411"/>
          <w:marRight w:val="0"/>
          <w:marTop w:val="43"/>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png"/><Relationship Id="rId14" Type="http://schemas.openxmlformats.org/officeDocument/2006/relationships/image" Target="media/image2.png"/><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SAQRZK7RPU5V-1-15685</_dlc_DocId>
    <TaxCatchAll xmlns="08b2df90-05d3-4030-90d4-c9feeb4a1cd9">
      <Value>32</Value>
      <Value>31</Value>
      <Value>30</Value>
      <Value>2</Value>
      <Value>1</Value>
    </TaxCatchAll>
    <_dlc_DocIdUrl xmlns="08b2df90-05d3-4030-90d4-c9feeb4a1cd9">
      <Url>https://ericoll.internal.ericsson.com/sites/NSA/_layouts/DocIdRedir.aspx?ID=SAQRZK7RPU5V-1-15685</Url>
      <Description>SAQRZK7RPU5V-1-15685</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F0FDD-CFD7-411B-BF8F-8A2D67D6F923}">
  <ds:schemaRefs>
    <ds:schemaRef ds:uri="http://schemas.microsoft.com/sharepoint/events"/>
  </ds:schemaRefs>
</ds:datastoreItem>
</file>

<file path=customXml/itemProps2.xml><?xml version="1.0" encoding="utf-8"?>
<ds:datastoreItem xmlns:ds="http://schemas.openxmlformats.org/officeDocument/2006/customXml" ds:itemID="{1ADFABBB-1EAF-429D-B362-1D9A2B41F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7AFEC8-2DEF-4E10-A1CF-263AE1DD12FD}">
  <ds:schemaRefs>
    <ds:schemaRef ds:uri="http://schemas.microsoft.com/sharepoint/v3/contenttype/forms"/>
  </ds:schemaRefs>
</ds:datastoreItem>
</file>

<file path=customXml/itemProps4.xml><?xml version="1.0" encoding="utf-8"?>
<ds:datastoreItem xmlns:ds="http://schemas.openxmlformats.org/officeDocument/2006/customXml" ds:itemID="{ACFCC107-78A0-4D8E-BB33-118BFCFA2019}">
  <ds:schemaRefs>
    <ds:schemaRef ds:uri="Microsoft.SharePoint.Taxonomy.ContentTypeSync"/>
  </ds:schemaRefs>
</ds:datastoreItem>
</file>

<file path=customXml/itemProps5.xml><?xml version="1.0" encoding="utf-8"?>
<ds:datastoreItem xmlns:ds="http://schemas.openxmlformats.org/officeDocument/2006/customXml" ds:itemID="{6EF1ED3C-DE22-4140-A371-A0800D395DBC}">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B8B85543-5E29-6B43-8EFA-5E94981E0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TotalTime>
  <Pages>5</Pages>
  <Words>2453</Words>
  <Characters>11360</Characters>
  <Application>Microsoft Macintosh Word</Application>
  <DocSecurity>0</DocSecurity>
  <Lines>277</Lines>
  <Paragraphs>172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Henrik Enbuske</cp:lastModifiedBy>
  <cp:revision>212</cp:revision>
  <cp:lastPrinted>2008-01-31T06:09:00Z</cp:lastPrinted>
  <dcterms:created xsi:type="dcterms:W3CDTF">2016-09-07T05:59:00Z</dcterms:created>
  <dcterms:modified xsi:type="dcterms:W3CDTF">2017-01-06T22:28:00Z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2016-11-27T23:00:00Z</vt:filetime>
  </property>
  <property fmtid="{D5CDD505-2E9C-101B-9397-08002B2CF9AE}" pid="3" name="_dlc_DocIdItemGuid">
    <vt:lpwstr>d621fa22-46ba-4c73-a993-961872e0a22d</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